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2163" w14:textId="44D3BEAD" w:rsidR="003636B1" w:rsidRPr="003D6738" w:rsidRDefault="00467007" w:rsidP="497B2BD0">
      <w:pPr>
        <w:spacing w:before="120" w:after="0" w:line="276" w:lineRule="auto"/>
        <w:rPr>
          <w:rFonts w:cstheme="minorBidi"/>
        </w:rPr>
      </w:pPr>
      <w:r w:rsidRPr="003D6738">
        <w:rPr>
          <w:rFonts w:cstheme="minorHAnsi"/>
          <w:noProof/>
        </w:rPr>
        <w:drawing>
          <wp:anchor distT="0" distB="0" distL="114300" distR="114300" simplePos="0" relativeHeight="251659264" behindDoc="1" locked="0" layoutInCell="1" allowOverlap="1" wp14:anchorId="0A46CE0A" wp14:editId="5C485465">
            <wp:simplePos x="0" y="0"/>
            <wp:positionH relativeFrom="page">
              <wp:posOffset>645795</wp:posOffset>
            </wp:positionH>
            <wp:positionV relativeFrom="page">
              <wp:posOffset>594995</wp:posOffset>
            </wp:positionV>
            <wp:extent cx="1925955" cy="532765"/>
            <wp:effectExtent l="0" t="0" r="0" b="635"/>
            <wp:wrapNone/>
            <wp:docPr id="1539992730" name="Obraz 15399927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p>
    <w:p w14:paraId="74D30AE8" w14:textId="0AC0F053" w:rsidR="003636B1" w:rsidRPr="003D6738" w:rsidRDefault="137E9A3B" w:rsidP="497B2BD0">
      <w:pPr>
        <w:spacing w:after="160"/>
        <w:jc w:val="right"/>
        <w:rPr>
          <w:rFonts w:cstheme="minorBidi"/>
          <w:b/>
          <w:bCs/>
        </w:rPr>
      </w:pPr>
      <w:r w:rsidRPr="497B2BD0">
        <w:rPr>
          <w:rFonts w:cstheme="minorBidi"/>
          <w:i/>
          <w:iCs/>
        </w:rPr>
        <w:t xml:space="preserve">Załącznik nr 1 </w:t>
      </w:r>
    </w:p>
    <w:p w14:paraId="5F566E59" w14:textId="77777777" w:rsidR="003636B1" w:rsidRPr="003D6738" w:rsidRDefault="137E9A3B" w:rsidP="497B2BD0">
      <w:pPr>
        <w:tabs>
          <w:tab w:val="left" w:pos="2652"/>
          <w:tab w:val="center" w:pos="4513"/>
        </w:tabs>
        <w:spacing w:line="360" w:lineRule="auto"/>
        <w:jc w:val="center"/>
        <w:rPr>
          <w:rFonts w:cstheme="minorBidi"/>
          <w:b/>
          <w:bCs/>
        </w:rPr>
      </w:pPr>
      <w:r w:rsidRPr="497B2BD0">
        <w:rPr>
          <w:rFonts w:cstheme="minorBidi"/>
          <w:b/>
          <w:bCs/>
        </w:rPr>
        <w:t>OPIS PRZEDMIOTU ZAMÓWIENIA</w:t>
      </w:r>
    </w:p>
    <w:p w14:paraId="11D44725" w14:textId="442AB8A9" w:rsidR="003636B1" w:rsidRPr="003D6738" w:rsidRDefault="137E9A3B" w:rsidP="497B2BD0">
      <w:pPr>
        <w:pStyle w:val="Akapitzlist"/>
        <w:numPr>
          <w:ilvl w:val="0"/>
          <w:numId w:val="0"/>
        </w:numPr>
        <w:spacing w:line="360" w:lineRule="auto"/>
        <w:jc w:val="both"/>
        <w:rPr>
          <w:rFonts w:cstheme="minorBidi"/>
          <w:b/>
          <w:bCs/>
          <w:lang w:val="pl-PL"/>
        </w:rPr>
      </w:pPr>
      <w:r w:rsidRPr="004A4523">
        <w:rPr>
          <w:rFonts w:cstheme="minorBidi"/>
          <w:lang w:val="pl-PL"/>
        </w:rPr>
        <w:t xml:space="preserve">Przedmiotem zamówienia jest </w:t>
      </w:r>
      <w:r w:rsidRPr="004A4523">
        <w:rPr>
          <w:rFonts w:cstheme="minorBidi"/>
          <w:b/>
          <w:bCs/>
          <w:lang w:val="pl-PL"/>
        </w:rPr>
        <w:t>dostawa serwerów (zwanych dalej „Sprzętem”)</w:t>
      </w:r>
      <w:r w:rsidR="006B7CD7" w:rsidRPr="004A4523">
        <w:rPr>
          <w:rFonts w:cstheme="minorBidi"/>
          <w:b/>
          <w:bCs/>
          <w:lang w:val="pl-PL"/>
        </w:rPr>
        <w:t xml:space="preserve"> </w:t>
      </w:r>
      <w:r w:rsidR="00B836DF" w:rsidRPr="004A4523">
        <w:rPr>
          <w:rFonts w:cstheme="minorBidi"/>
          <w:b/>
          <w:bCs/>
          <w:lang w:val="pl-PL"/>
        </w:rPr>
        <w:t xml:space="preserve">wraz z </w:t>
      </w:r>
      <w:r w:rsidR="00A85676" w:rsidRPr="004A4523">
        <w:rPr>
          <w:rFonts w:cstheme="minorBidi"/>
          <w:b/>
          <w:bCs/>
          <w:lang w:val="pl-PL"/>
        </w:rPr>
        <w:t> </w:t>
      </w:r>
      <w:r w:rsidR="00B836DF" w:rsidRPr="004A4523">
        <w:rPr>
          <w:rFonts w:cstheme="minorBidi"/>
          <w:b/>
          <w:bCs/>
          <w:lang w:val="pl-PL"/>
        </w:rPr>
        <w:t>oprogramowaniem</w:t>
      </w:r>
      <w:r w:rsidRPr="004A4523">
        <w:rPr>
          <w:rFonts w:cstheme="minorBidi"/>
          <w:b/>
          <w:bCs/>
          <w:lang w:val="pl-PL"/>
        </w:rPr>
        <w:t xml:space="preserve">. </w:t>
      </w:r>
    </w:p>
    <w:p w14:paraId="17B9FEC1" w14:textId="4642118F" w:rsidR="003636B1" w:rsidRPr="003D6738" w:rsidRDefault="54BAB6AB" w:rsidP="001357DA">
      <w:pPr>
        <w:pStyle w:val="Akapitzlist"/>
        <w:numPr>
          <w:ilvl w:val="0"/>
          <w:numId w:val="7"/>
        </w:numPr>
        <w:spacing w:before="120"/>
        <w:outlineLvl w:val="0"/>
        <w:rPr>
          <w:rFonts w:cstheme="minorBidi"/>
          <w:b/>
          <w:bCs/>
          <w:u w:val="single"/>
          <w:lang w:val="pl-PL"/>
        </w:rPr>
      </w:pPr>
      <w:r w:rsidRPr="497B2BD0">
        <w:rPr>
          <w:rFonts w:cstheme="minorBidi"/>
          <w:b/>
          <w:bCs/>
          <w:u w:val="single"/>
        </w:rPr>
        <w:t>Termin realizacji zamówienia:</w:t>
      </w:r>
    </w:p>
    <w:p w14:paraId="556F0150" w14:textId="09045E19" w:rsidR="003636B1" w:rsidRPr="003D6738" w:rsidRDefault="137E9A3B" w:rsidP="497B2BD0">
      <w:pPr>
        <w:pStyle w:val="Akapitzlist"/>
        <w:numPr>
          <w:ilvl w:val="0"/>
          <w:numId w:val="0"/>
        </w:numPr>
        <w:ind w:left="714"/>
        <w:rPr>
          <w:rFonts w:cstheme="minorBidi"/>
          <w:lang w:val="pl-PL"/>
        </w:rPr>
      </w:pPr>
      <w:r w:rsidRPr="004A4523">
        <w:rPr>
          <w:rFonts w:cstheme="minorBidi"/>
          <w:lang w:val="pl-PL"/>
        </w:rPr>
        <w:t xml:space="preserve">Zgodnie ze złożoną ofertą nie później niż w terminie </w:t>
      </w:r>
      <w:r w:rsidR="0680E85F" w:rsidRPr="004A4523">
        <w:rPr>
          <w:rFonts w:cstheme="minorBidi"/>
          <w:lang w:val="pl-PL"/>
        </w:rPr>
        <w:t>6</w:t>
      </w:r>
      <w:r w:rsidRPr="004A4523">
        <w:rPr>
          <w:rFonts w:cstheme="minorBidi"/>
          <w:lang w:val="pl-PL"/>
        </w:rPr>
        <w:t>0 dni kalendarzowych od dnia zawarcia Umowy</w:t>
      </w:r>
      <w:r w:rsidR="00B836DF" w:rsidRPr="004A4523">
        <w:rPr>
          <w:rFonts w:cstheme="minorBidi"/>
          <w:lang w:val="pl-PL"/>
        </w:rPr>
        <w:t>.</w:t>
      </w:r>
    </w:p>
    <w:p w14:paraId="1E9233AE" w14:textId="10298723" w:rsidR="003636B1" w:rsidRPr="003D6738" w:rsidRDefault="54BAB6AB" w:rsidP="004027D0">
      <w:pPr>
        <w:pStyle w:val="Akapitzlist"/>
        <w:numPr>
          <w:ilvl w:val="0"/>
          <w:numId w:val="7"/>
        </w:numPr>
        <w:spacing w:before="120"/>
        <w:outlineLvl w:val="0"/>
        <w:rPr>
          <w:rFonts w:cstheme="minorBidi"/>
          <w:b/>
          <w:bCs/>
          <w:u w:val="single"/>
          <w:lang w:val="pl-PL"/>
        </w:rPr>
      </w:pPr>
      <w:r w:rsidRPr="497B2BD0">
        <w:rPr>
          <w:rFonts w:cstheme="minorBidi"/>
          <w:b/>
          <w:bCs/>
          <w:u w:val="single"/>
        </w:rPr>
        <w:t>Zamówienie obejmuje:</w:t>
      </w:r>
    </w:p>
    <w:p w14:paraId="69D556FA" w14:textId="32EB4347" w:rsidR="003636B1" w:rsidRPr="003D6738" w:rsidRDefault="54BAB6AB" w:rsidP="004027D0">
      <w:pPr>
        <w:pStyle w:val="Akapitzlist"/>
        <w:numPr>
          <w:ilvl w:val="1"/>
          <w:numId w:val="7"/>
        </w:numPr>
        <w:spacing w:after="0" w:line="276" w:lineRule="auto"/>
        <w:contextualSpacing/>
        <w:rPr>
          <w:rFonts w:cstheme="minorBidi"/>
          <w:lang w:val="pl-PL"/>
        </w:rPr>
      </w:pPr>
      <w:r w:rsidRPr="004A4523">
        <w:rPr>
          <w:rFonts w:cstheme="minorBidi"/>
          <w:lang w:val="pl-PL"/>
        </w:rPr>
        <w:t>Dostawę Sprzętu opisanego szczegółowo w pkt 3 do ośrodk</w:t>
      </w:r>
      <w:r w:rsidR="00150085" w:rsidRPr="004A4523">
        <w:rPr>
          <w:rFonts w:cstheme="minorBidi"/>
          <w:lang w:val="pl-PL"/>
        </w:rPr>
        <w:t>a</w:t>
      </w:r>
      <w:r w:rsidRPr="004A4523">
        <w:rPr>
          <w:rFonts w:cstheme="minorBidi"/>
          <w:lang w:val="pl-PL"/>
        </w:rPr>
        <w:t xml:space="preserve"> przetwarzania danych Zamawiającego na terenie m.st. Warszawy. </w:t>
      </w:r>
    </w:p>
    <w:p w14:paraId="6906CBD9" w14:textId="45430D2A" w:rsidR="00B836DF" w:rsidRPr="003D6738" w:rsidRDefault="00B836DF" w:rsidP="004027D0">
      <w:pPr>
        <w:pStyle w:val="Akapitzlist"/>
        <w:numPr>
          <w:ilvl w:val="1"/>
          <w:numId w:val="7"/>
        </w:numPr>
        <w:spacing w:after="0" w:line="276" w:lineRule="auto"/>
        <w:contextualSpacing/>
        <w:rPr>
          <w:rFonts w:cstheme="minorBidi"/>
          <w:lang w:val="pl-PL"/>
        </w:rPr>
      </w:pPr>
      <w:r w:rsidRPr="004A4523">
        <w:rPr>
          <w:rFonts w:cstheme="minorBidi"/>
          <w:lang w:val="pl-PL"/>
        </w:rPr>
        <w:t>Dostawę licencji do oprogramowania VMware lub licencji oprogramowania równoważnego, opisan</w:t>
      </w:r>
      <w:r w:rsidR="000B7B8C" w:rsidRPr="004A4523">
        <w:rPr>
          <w:rFonts w:cstheme="minorBidi"/>
          <w:lang w:val="pl-PL"/>
        </w:rPr>
        <w:t>ych</w:t>
      </w:r>
      <w:r w:rsidRPr="004A4523">
        <w:rPr>
          <w:rFonts w:cstheme="minorBidi"/>
          <w:lang w:val="pl-PL"/>
        </w:rPr>
        <w:t xml:space="preserve"> szczegółowo w pkt </w:t>
      </w:r>
      <w:r w:rsidR="00F91E50" w:rsidRPr="004A4523">
        <w:rPr>
          <w:rFonts w:cstheme="minorBidi"/>
          <w:lang w:val="pl-PL"/>
        </w:rPr>
        <w:t>4</w:t>
      </w:r>
      <w:r w:rsidRPr="004A4523">
        <w:rPr>
          <w:rFonts w:cstheme="minorBidi"/>
          <w:lang w:val="pl-PL"/>
        </w:rPr>
        <w:t xml:space="preserve">. </w:t>
      </w:r>
    </w:p>
    <w:p w14:paraId="3DF7FEDC" w14:textId="5CA9094E" w:rsidR="00B836DF" w:rsidRPr="003D6738" w:rsidRDefault="00B836DF" w:rsidP="004027D0">
      <w:pPr>
        <w:pStyle w:val="Akapitzlist"/>
        <w:numPr>
          <w:ilvl w:val="1"/>
          <w:numId w:val="7"/>
        </w:numPr>
        <w:spacing w:after="0" w:line="276" w:lineRule="auto"/>
        <w:contextualSpacing/>
        <w:rPr>
          <w:rFonts w:cstheme="minorBidi"/>
          <w:lang w:val="pl-PL"/>
        </w:rPr>
      </w:pPr>
      <w:r w:rsidRPr="004A4523">
        <w:rPr>
          <w:rFonts w:cstheme="minorBidi"/>
          <w:lang w:val="pl-PL"/>
        </w:rPr>
        <w:t>Dostawę oprogramowania Red Hat lub równoważnego, opisanego szczegółowo w pkt 5</w:t>
      </w:r>
      <w:r w:rsidR="00F91E50" w:rsidRPr="004A4523">
        <w:rPr>
          <w:rFonts w:cstheme="minorBidi"/>
          <w:lang w:val="pl-PL"/>
        </w:rPr>
        <w:t>.</w:t>
      </w:r>
    </w:p>
    <w:p w14:paraId="5379397D" w14:textId="77777777" w:rsidR="00B836DF" w:rsidRPr="003D6738" w:rsidRDefault="00B836DF" w:rsidP="497B2BD0">
      <w:pPr>
        <w:spacing w:after="0" w:line="276" w:lineRule="auto"/>
        <w:contextualSpacing/>
        <w:rPr>
          <w:rFonts w:cstheme="minorBidi"/>
        </w:rPr>
      </w:pPr>
    </w:p>
    <w:p w14:paraId="3914C681" w14:textId="1603A7B1" w:rsidR="003636B1" w:rsidRPr="003D6738" w:rsidRDefault="2E5D97D0" w:rsidP="004027D0">
      <w:pPr>
        <w:pStyle w:val="Akapitzlist"/>
        <w:numPr>
          <w:ilvl w:val="0"/>
          <w:numId w:val="7"/>
        </w:numPr>
        <w:spacing w:before="120"/>
        <w:outlineLvl w:val="0"/>
        <w:rPr>
          <w:rFonts w:cstheme="minorBidi"/>
          <w:b/>
          <w:bCs/>
          <w:u w:val="single"/>
          <w:lang w:val="pl-PL"/>
        </w:rPr>
      </w:pPr>
      <w:r w:rsidRPr="004A4523">
        <w:rPr>
          <w:rFonts w:cstheme="minorBidi"/>
          <w:b/>
          <w:bCs/>
          <w:u w:val="single"/>
          <w:lang w:val="pl-PL"/>
        </w:rPr>
        <w:t xml:space="preserve"> </w:t>
      </w:r>
      <w:r w:rsidR="54BAB6AB" w:rsidRPr="497B2BD0">
        <w:rPr>
          <w:rFonts w:cstheme="minorBidi"/>
          <w:b/>
          <w:bCs/>
          <w:u w:val="single"/>
        </w:rPr>
        <w:t>Serwery - wymagania. </w:t>
      </w:r>
    </w:p>
    <w:p w14:paraId="6D10192E" w14:textId="40D1A140" w:rsidR="003636B1" w:rsidRPr="003D6738" w:rsidRDefault="000B7B8C" w:rsidP="004027D0">
      <w:pPr>
        <w:pStyle w:val="Akapitzlist"/>
        <w:numPr>
          <w:ilvl w:val="1"/>
          <w:numId w:val="7"/>
        </w:numPr>
        <w:spacing w:after="0" w:line="276" w:lineRule="auto"/>
        <w:contextualSpacing/>
        <w:rPr>
          <w:rFonts w:cstheme="minorBidi"/>
          <w:lang w:val="pl-PL"/>
        </w:rPr>
      </w:pPr>
      <w:r w:rsidRPr="004A4523">
        <w:rPr>
          <w:rFonts w:cstheme="minorBidi"/>
          <w:lang w:val="pl-PL"/>
        </w:rPr>
        <w:t xml:space="preserve">Dostawa </w:t>
      </w:r>
      <w:r w:rsidR="00044B7D" w:rsidRPr="004A4523">
        <w:rPr>
          <w:rFonts w:cstheme="minorBidi"/>
          <w:lang w:val="pl-PL"/>
        </w:rPr>
        <w:t>10</w:t>
      </w:r>
      <w:r w:rsidR="3546B859" w:rsidRPr="004A4523">
        <w:rPr>
          <w:rFonts w:cstheme="minorBidi"/>
          <w:lang w:val="pl-PL"/>
        </w:rPr>
        <w:t xml:space="preserve"> </w:t>
      </w:r>
      <w:r w:rsidR="54BAB6AB" w:rsidRPr="004A4523">
        <w:rPr>
          <w:rFonts w:cstheme="minorBidi"/>
          <w:lang w:val="pl-PL"/>
        </w:rPr>
        <w:t xml:space="preserve">serwerów, każdy o wymaganiach opisanych poniżej, </w:t>
      </w:r>
      <w:r w:rsidR="009532F4" w:rsidRPr="004A4523">
        <w:rPr>
          <w:rFonts w:cstheme="minorBidi"/>
          <w:lang w:val="pl-PL"/>
        </w:rPr>
        <w:t>wraz z ich montażem, instalacją i konfiguracją</w:t>
      </w:r>
      <w:r w:rsidR="54BAB6AB" w:rsidRPr="004A4523">
        <w:rPr>
          <w:rFonts w:cstheme="minorBidi"/>
          <w:lang w:val="pl-PL"/>
        </w:rPr>
        <w:t>.</w:t>
      </w:r>
    </w:p>
    <w:p w14:paraId="4C7FFE83" w14:textId="77777777" w:rsidR="00787827" w:rsidRPr="003D6738" w:rsidRDefault="00787827" w:rsidP="497B2BD0">
      <w:pPr>
        <w:spacing w:after="0"/>
        <w:ind w:left="360"/>
        <w:textAlignment w:val="baseline"/>
        <w:rPr>
          <w:rFonts w:cstheme="minorBidi"/>
        </w:rPr>
      </w:pPr>
    </w:p>
    <w:p w14:paraId="633FABFE" w14:textId="06597E9E" w:rsidR="00366C2F" w:rsidRPr="003D6738" w:rsidRDefault="3546B859" w:rsidP="004027D0">
      <w:pPr>
        <w:pStyle w:val="Akapitzlist"/>
        <w:numPr>
          <w:ilvl w:val="1"/>
          <w:numId w:val="7"/>
        </w:numPr>
        <w:spacing w:after="0" w:line="276" w:lineRule="auto"/>
        <w:contextualSpacing/>
        <w:rPr>
          <w:rFonts w:cstheme="minorBidi"/>
          <w:lang w:val="pl-PL"/>
        </w:rPr>
      </w:pPr>
      <w:r w:rsidRPr="0E3C54E5">
        <w:rPr>
          <w:rFonts w:cstheme="minorBidi"/>
        </w:rPr>
        <w:t xml:space="preserve">Wymagania </w:t>
      </w:r>
      <w:r w:rsidR="66475C82" w:rsidRPr="0E3C54E5">
        <w:rPr>
          <w:rFonts w:cstheme="minorBidi"/>
        </w:rPr>
        <w:t xml:space="preserve">minimalne </w:t>
      </w:r>
      <w:r w:rsidRPr="0E3C54E5">
        <w:rPr>
          <w:rFonts w:cstheme="minorBidi"/>
        </w:rPr>
        <w:t>dla serwera:</w:t>
      </w:r>
    </w:p>
    <w:p w14:paraId="1FB14F82" w14:textId="36EE9ADE" w:rsidR="4569C409" w:rsidRDefault="4569C409" w:rsidP="001357DA">
      <w:pPr>
        <w:pStyle w:val="Akapitzlist"/>
        <w:numPr>
          <w:ilvl w:val="0"/>
          <w:numId w:val="0"/>
        </w:numPr>
        <w:spacing w:after="0" w:line="240" w:lineRule="auto"/>
        <w:ind w:left="720"/>
        <w:rPr>
          <w:rFonts w:cstheme="minorBidi"/>
          <w:lang w:val="pl-PL"/>
        </w:rPr>
      </w:pPr>
      <w:r w:rsidRPr="0E3C54E5">
        <w:rPr>
          <w:rFonts w:cstheme="minorBidi"/>
          <w:lang w:val="pl-PL"/>
        </w:rPr>
        <w:t>Tab.nr 1</w:t>
      </w:r>
    </w:p>
    <w:tbl>
      <w:tblPr>
        <w:tblStyle w:val="Tabela-Siatka2"/>
        <w:tblW w:w="10060" w:type="dxa"/>
        <w:tblLayout w:type="fixed"/>
        <w:tblLook w:val="06A0" w:firstRow="1" w:lastRow="0" w:firstColumn="1" w:lastColumn="0" w:noHBand="1" w:noVBand="1"/>
      </w:tblPr>
      <w:tblGrid>
        <w:gridCol w:w="659"/>
        <w:gridCol w:w="1746"/>
        <w:gridCol w:w="7655"/>
      </w:tblGrid>
      <w:tr w:rsidR="00AD0BCD" w:rsidRPr="003D6738" w14:paraId="0015772A" w14:textId="77777777" w:rsidTr="0E3C54E5">
        <w:tc>
          <w:tcPr>
            <w:tcW w:w="6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D58FD93" w14:textId="77777777" w:rsidR="00AD0BCD" w:rsidRPr="003D6738" w:rsidRDefault="0680E85F" w:rsidP="497B2BD0">
            <w:pPr>
              <w:jc w:val="center"/>
              <w:rPr>
                <w:rFonts w:cstheme="minorBidi"/>
              </w:rPr>
            </w:pPr>
            <w:r w:rsidRPr="497B2BD0">
              <w:rPr>
                <w:rFonts w:cstheme="minorBidi"/>
              </w:rPr>
              <w:t>Lp.</w:t>
            </w:r>
          </w:p>
        </w:tc>
        <w:tc>
          <w:tcPr>
            <w:tcW w:w="174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A04C7C4" w14:textId="77777777" w:rsidR="00AD0BCD" w:rsidRPr="003D6738" w:rsidRDefault="0680E85F" w:rsidP="497B2BD0">
            <w:pPr>
              <w:rPr>
                <w:rFonts w:cstheme="minorBidi"/>
              </w:rPr>
            </w:pPr>
            <w:r w:rsidRPr="497B2BD0">
              <w:rPr>
                <w:rFonts w:cstheme="minorBidi"/>
              </w:rPr>
              <w:t>Obszar</w:t>
            </w:r>
          </w:p>
        </w:tc>
        <w:tc>
          <w:tcPr>
            <w:tcW w:w="7655"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470A276" w14:textId="77777777" w:rsidR="00AD0BCD" w:rsidRPr="003D6738" w:rsidRDefault="0680E85F" w:rsidP="497B2BD0">
            <w:pPr>
              <w:rPr>
                <w:rFonts w:cstheme="minorBidi"/>
              </w:rPr>
            </w:pPr>
            <w:r w:rsidRPr="497B2BD0">
              <w:rPr>
                <w:rFonts w:cstheme="minorBidi"/>
              </w:rPr>
              <w:t>Wymaganie</w:t>
            </w:r>
          </w:p>
        </w:tc>
      </w:tr>
      <w:tr w:rsidR="00AD0BCD" w:rsidRPr="003D6738" w14:paraId="4F2A41A2" w14:textId="77777777" w:rsidTr="0E3C54E5">
        <w:tblPrEx>
          <w:tblLook w:val="04A0" w:firstRow="1" w:lastRow="0" w:firstColumn="1" w:lastColumn="0" w:noHBand="0" w:noVBand="1"/>
        </w:tblPrEx>
        <w:tc>
          <w:tcPr>
            <w:tcW w:w="659" w:type="dxa"/>
            <w:hideMark/>
          </w:tcPr>
          <w:p w14:paraId="3D190768" w14:textId="1B6D12DD" w:rsidR="00AD0BCD" w:rsidRPr="003D6738" w:rsidRDefault="0680E85F" w:rsidP="497B2BD0">
            <w:pPr>
              <w:spacing w:line="256" w:lineRule="auto"/>
              <w:jc w:val="center"/>
              <w:rPr>
                <w:rFonts w:cstheme="minorBidi"/>
              </w:rPr>
            </w:pPr>
            <w:r w:rsidRPr="497B2BD0">
              <w:rPr>
                <w:rFonts w:cstheme="minorBidi"/>
              </w:rPr>
              <w:t>1.</w:t>
            </w:r>
          </w:p>
        </w:tc>
        <w:tc>
          <w:tcPr>
            <w:tcW w:w="1746" w:type="dxa"/>
            <w:hideMark/>
          </w:tcPr>
          <w:p w14:paraId="043DEBDD" w14:textId="77777777" w:rsidR="00AD0BCD" w:rsidRPr="003D6738" w:rsidRDefault="0680E85F" w:rsidP="497B2BD0">
            <w:pPr>
              <w:spacing w:line="256" w:lineRule="auto"/>
              <w:rPr>
                <w:rFonts w:cstheme="minorBidi"/>
              </w:rPr>
            </w:pPr>
            <w:r w:rsidRPr="497B2BD0">
              <w:rPr>
                <w:rFonts w:cstheme="minorBidi"/>
              </w:rPr>
              <w:t>Procesory</w:t>
            </w:r>
          </w:p>
        </w:tc>
        <w:tc>
          <w:tcPr>
            <w:tcW w:w="7655" w:type="dxa"/>
          </w:tcPr>
          <w:p w14:paraId="785E27D0" w14:textId="7FA5C4B5" w:rsidR="00AD0BCD" w:rsidRPr="003D6738" w:rsidRDefault="36F3765F" w:rsidP="497B2BD0">
            <w:pPr>
              <w:spacing w:after="0"/>
              <w:contextualSpacing/>
              <w:rPr>
                <w:rFonts w:cstheme="minorBidi"/>
              </w:rPr>
            </w:pPr>
            <w:r w:rsidRPr="497B2BD0">
              <w:rPr>
                <w:rFonts w:cstheme="minorBidi"/>
              </w:rPr>
              <w:t>1.</w:t>
            </w:r>
            <w:r w:rsidR="6A12C571" w:rsidRPr="497B2BD0">
              <w:rPr>
                <w:rFonts w:cstheme="minorBidi"/>
              </w:rPr>
              <w:t>1</w:t>
            </w:r>
            <w:r w:rsidRPr="497B2BD0">
              <w:rPr>
                <w:rFonts w:cstheme="minorBidi"/>
              </w:rPr>
              <w:t xml:space="preserve">. </w:t>
            </w:r>
            <w:r w:rsidR="3546B859" w:rsidRPr="497B2BD0">
              <w:rPr>
                <w:rFonts w:cstheme="minorBidi"/>
              </w:rPr>
              <w:t>Procesor</w:t>
            </w:r>
            <w:r w:rsidR="6A12C571" w:rsidRPr="497B2BD0">
              <w:rPr>
                <w:rFonts w:cstheme="minorBidi"/>
              </w:rPr>
              <w:t xml:space="preserve"> lub procesory,</w:t>
            </w:r>
            <w:r w:rsidR="3546B859" w:rsidRPr="497B2BD0">
              <w:rPr>
                <w:rFonts w:cstheme="minorBidi"/>
              </w:rPr>
              <w:t xml:space="preserve"> </w:t>
            </w:r>
            <w:r w:rsidR="6A12C571" w:rsidRPr="497B2BD0">
              <w:rPr>
                <w:rFonts w:cstheme="minorBidi"/>
              </w:rPr>
              <w:t xml:space="preserve">z dostępnymi łącznie minimum 64 rdzeniami, </w:t>
            </w:r>
            <w:r w:rsidR="3546B859" w:rsidRPr="497B2BD0">
              <w:rPr>
                <w:rFonts w:cstheme="minorBidi"/>
              </w:rPr>
              <w:t xml:space="preserve">x86 - 64 bity taktowany częstotliwością </w:t>
            </w:r>
            <w:r w:rsidR="094F8E97" w:rsidRPr="497B2BD0">
              <w:rPr>
                <w:rFonts w:cstheme="minorBidi"/>
              </w:rPr>
              <w:t>bazową nie mniejszą niż</w:t>
            </w:r>
            <w:r w:rsidR="3546B859" w:rsidRPr="497B2BD0">
              <w:rPr>
                <w:rFonts w:cstheme="minorBidi"/>
              </w:rPr>
              <w:t xml:space="preserve"> 3</w:t>
            </w:r>
            <w:r w:rsidR="6590514E" w:rsidRPr="497B2BD0">
              <w:rPr>
                <w:rFonts w:cstheme="minorBidi"/>
              </w:rPr>
              <w:t>,8</w:t>
            </w:r>
            <w:r w:rsidR="3546B859" w:rsidRPr="497B2BD0">
              <w:rPr>
                <w:rFonts w:cstheme="minorBidi"/>
              </w:rPr>
              <w:t xml:space="preserve"> GHz, osiągający w testach SPECrate2017_int_base wynik minimum </w:t>
            </w:r>
            <w:r w:rsidR="56AEBD4B" w:rsidRPr="497B2BD0">
              <w:rPr>
                <w:rFonts w:cstheme="minorBidi"/>
              </w:rPr>
              <w:t>80</w:t>
            </w:r>
            <w:r w:rsidR="3546B859" w:rsidRPr="497B2BD0">
              <w:rPr>
                <w:rFonts w:cstheme="minorBidi"/>
              </w:rPr>
              <w:t>0 punktów dla modelu oferowanego serwera</w:t>
            </w:r>
            <w:r w:rsidR="2E2EC327" w:rsidRPr="497B2BD0">
              <w:rPr>
                <w:rFonts w:cstheme="minorBidi"/>
              </w:rPr>
              <w:t>.</w:t>
            </w:r>
            <w:r w:rsidR="3546B859" w:rsidRPr="497B2BD0">
              <w:rPr>
                <w:rFonts w:cstheme="minorBidi"/>
              </w:rPr>
              <w:t xml:space="preserve"> Wyniki dla oferowanego modelu serwera muszą być dostępne na stronie </w:t>
            </w:r>
            <w:hyperlink r:id="rId12">
              <w:r w:rsidR="3546B859" w:rsidRPr="497B2BD0">
                <w:rPr>
                  <w:rStyle w:val="Hipercze"/>
                  <w:rFonts w:cstheme="minorBidi"/>
                </w:rPr>
                <w:t>www.spec.org</w:t>
              </w:r>
            </w:hyperlink>
          </w:p>
        </w:tc>
      </w:tr>
      <w:tr w:rsidR="008D36D0" w:rsidRPr="003D6738" w14:paraId="1200D40C" w14:textId="77777777" w:rsidTr="0E3C54E5">
        <w:tblPrEx>
          <w:tblLook w:val="04A0" w:firstRow="1" w:lastRow="0" w:firstColumn="1" w:lastColumn="0" w:noHBand="0" w:noVBand="1"/>
        </w:tblPrEx>
        <w:tc>
          <w:tcPr>
            <w:tcW w:w="659" w:type="dxa"/>
            <w:hideMark/>
          </w:tcPr>
          <w:p w14:paraId="449FA357" w14:textId="03C14DFD" w:rsidR="008D36D0" w:rsidRPr="003D6738" w:rsidRDefault="198D311C" w:rsidP="497B2BD0">
            <w:pPr>
              <w:jc w:val="center"/>
              <w:rPr>
                <w:rFonts w:cstheme="minorBidi"/>
              </w:rPr>
            </w:pPr>
            <w:r w:rsidRPr="497B2BD0">
              <w:rPr>
                <w:rFonts w:cstheme="minorBidi"/>
              </w:rPr>
              <w:t>2</w:t>
            </w:r>
            <w:r w:rsidR="1B05DA2D" w:rsidRPr="497B2BD0">
              <w:rPr>
                <w:rFonts w:cstheme="minorBidi"/>
              </w:rPr>
              <w:t>.</w:t>
            </w:r>
          </w:p>
        </w:tc>
        <w:tc>
          <w:tcPr>
            <w:tcW w:w="1746" w:type="dxa"/>
            <w:hideMark/>
          </w:tcPr>
          <w:p w14:paraId="3B4A077D" w14:textId="77777777" w:rsidR="008D36D0" w:rsidRPr="003D6738" w:rsidRDefault="1B05DA2D" w:rsidP="497B2BD0">
            <w:pPr>
              <w:spacing w:line="256" w:lineRule="auto"/>
              <w:rPr>
                <w:rFonts w:cstheme="minorBidi"/>
              </w:rPr>
            </w:pPr>
            <w:r w:rsidRPr="497B2BD0">
              <w:rPr>
                <w:rFonts w:cstheme="minorBidi"/>
              </w:rPr>
              <w:t>Pamięć operacyjna</w:t>
            </w:r>
          </w:p>
        </w:tc>
        <w:tc>
          <w:tcPr>
            <w:tcW w:w="7655" w:type="dxa"/>
            <w:hideMark/>
          </w:tcPr>
          <w:p w14:paraId="220E19CF" w14:textId="3617E43D" w:rsidR="008D36D0" w:rsidRPr="003D6738" w:rsidRDefault="4CF792D6" w:rsidP="497B2BD0">
            <w:pPr>
              <w:contextualSpacing/>
              <w:rPr>
                <w:rFonts w:cstheme="minorBidi"/>
              </w:rPr>
            </w:pPr>
            <w:r w:rsidRPr="497B2BD0">
              <w:rPr>
                <w:rFonts w:cstheme="minorBidi"/>
              </w:rPr>
              <w:t xml:space="preserve">2.1. </w:t>
            </w:r>
            <w:r w:rsidR="5EBDFA5E" w:rsidRPr="497B2BD0">
              <w:rPr>
                <w:rFonts w:cstheme="minorBidi"/>
              </w:rPr>
              <w:t xml:space="preserve">Zainstalowane minimum </w:t>
            </w:r>
            <w:r w:rsidR="588DA27D" w:rsidRPr="497B2BD0">
              <w:rPr>
                <w:rFonts w:cstheme="minorBidi"/>
              </w:rPr>
              <w:t>1024</w:t>
            </w:r>
            <w:r w:rsidR="5EBDFA5E" w:rsidRPr="497B2BD0">
              <w:rPr>
                <w:rFonts w:cstheme="minorBidi"/>
              </w:rPr>
              <w:t xml:space="preserve"> GB pamięci RAM typu DDR</w:t>
            </w:r>
            <w:r w:rsidR="025EB199" w:rsidRPr="497B2BD0">
              <w:rPr>
                <w:rFonts w:cstheme="minorBidi"/>
              </w:rPr>
              <w:t>5</w:t>
            </w:r>
            <w:r w:rsidR="5EBDFA5E" w:rsidRPr="497B2BD0">
              <w:rPr>
                <w:rFonts w:cstheme="minorBidi"/>
              </w:rPr>
              <w:t xml:space="preserve"> Registered, min.</w:t>
            </w:r>
            <w:r w:rsidR="00285CF6" w:rsidRPr="497B2BD0">
              <w:rPr>
                <w:rFonts w:cstheme="minorBidi"/>
              </w:rPr>
              <w:t>6400</w:t>
            </w:r>
            <w:r w:rsidR="5EBDFA5E" w:rsidRPr="497B2BD0">
              <w:rPr>
                <w:rFonts w:cstheme="minorBidi"/>
              </w:rPr>
              <w:t xml:space="preserve">Mhz </w:t>
            </w:r>
            <w:r w:rsidR="6FDDEC50" w:rsidRPr="497B2BD0">
              <w:rPr>
                <w:rFonts w:cstheme="minorBidi"/>
              </w:rPr>
              <w:t xml:space="preserve">w kościach, których pojemność pozwoli w przyszłości na dwukrotne zwiększenie wielkości pamięci RAM przy zastosowaniu tych samych kości. </w:t>
            </w:r>
            <w:r w:rsidR="5EBDFA5E" w:rsidRPr="497B2BD0">
              <w:rPr>
                <w:rFonts w:cstheme="minorBidi"/>
              </w:rPr>
              <w:t xml:space="preserve">Obsługa zabezpieczeń: korekcja błędów pamięci </w:t>
            </w:r>
            <w:r w:rsidR="00B45D1A" w:rsidRPr="497B2BD0">
              <w:rPr>
                <w:rFonts w:cstheme="minorBidi"/>
              </w:rPr>
              <w:t>np. ECC (Error-Correcting Code).</w:t>
            </w:r>
          </w:p>
        </w:tc>
      </w:tr>
      <w:tr w:rsidR="00D5212C" w:rsidRPr="003D6738" w14:paraId="109FD63A" w14:textId="77777777" w:rsidTr="0E3C54E5">
        <w:tblPrEx>
          <w:tblLook w:val="04A0" w:firstRow="1" w:lastRow="0" w:firstColumn="1" w:lastColumn="0" w:noHBand="0" w:noVBand="1"/>
        </w:tblPrEx>
        <w:tc>
          <w:tcPr>
            <w:tcW w:w="659" w:type="dxa"/>
            <w:hideMark/>
          </w:tcPr>
          <w:p w14:paraId="3F990474" w14:textId="60CCB3C9" w:rsidR="00D5212C" w:rsidRPr="003D6738" w:rsidRDefault="5528B4B0" w:rsidP="497B2BD0">
            <w:pPr>
              <w:spacing w:line="256" w:lineRule="auto"/>
              <w:jc w:val="center"/>
              <w:rPr>
                <w:rFonts w:cstheme="minorBidi"/>
              </w:rPr>
            </w:pPr>
            <w:r w:rsidRPr="497B2BD0">
              <w:rPr>
                <w:rFonts w:cstheme="minorBidi"/>
              </w:rPr>
              <w:t>3.</w:t>
            </w:r>
          </w:p>
        </w:tc>
        <w:tc>
          <w:tcPr>
            <w:tcW w:w="1746" w:type="dxa"/>
            <w:hideMark/>
          </w:tcPr>
          <w:p w14:paraId="6C4C9F0B" w14:textId="77777777" w:rsidR="00D5212C" w:rsidRPr="003D6738" w:rsidRDefault="198D311C" w:rsidP="497B2BD0">
            <w:pPr>
              <w:spacing w:line="256" w:lineRule="auto"/>
              <w:rPr>
                <w:rFonts w:cstheme="minorBidi"/>
              </w:rPr>
            </w:pPr>
            <w:r w:rsidRPr="497B2BD0">
              <w:rPr>
                <w:rFonts w:cstheme="minorBidi"/>
              </w:rPr>
              <w:t>Dyski twarde</w:t>
            </w:r>
          </w:p>
        </w:tc>
        <w:tc>
          <w:tcPr>
            <w:tcW w:w="7655" w:type="dxa"/>
            <w:hideMark/>
          </w:tcPr>
          <w:p w14:paraId="2E57AED2" w14:textId="40F42AE0" w:rsidR="00125067" w:rsidRPr="003D6738" w:rsidRDefault="56D1A7E9" w:rsidP="497B2BD0">
            <w:pPr>
              <w:spacing w:after="0"/>
              <w:contextualSpacing/>
              <w:rPr>
                <w:rFonts w:cstheme="minorBidi"/>
              </w:rPr>
            </w:pPr>
            <w:r w:rsidRPr="497B2BD0">
              <w:rPr>
                <w:rFonts w:cstheme="minorBidi"/>
              </w:rPr>
              <w:t xml:space="preserve">3.1. </w:t>
            </w:r>
            <w:r w:rsidR="00317DF6" w:rsidRPr="497B2BD0">
              <w:rPr>
                <w:rFonts w:cstheme="minorBidi"/>
              </w:rPr>
              <w:t xml:space="preserve">Zainstalowane minimum 2 dyski Read Intensive (RI) min. 240GB SATA SSD Hot-Plug, działające redundantnie (RAID1), służące do uruchamiania systemu lub </w:t>
            </w:r>
            <w:r w:rsidR="00317DF6" w:rsidRPr="497B2BD0">
              <w:rPr>
                <w:rFonts w:cstheme="minorBidi"/>
              </w:rPr>
              <w:lastRenderedPageBreak/>
              <w:t>dodatkowa karta z zainstalowanymi 2 dyskami m.2, o pojemności min. 240GB każdy, zapewniająca tą samą funkcjonalność</w:t>
            </w:r>
            <w:r w:rsidR="6FDDEC50" w:rsidRPr="497B2BD0">
              <w:rPr>
                <w:rFonts w:cstheme="minorBidi"/>
              </w:rPr>
              <w:t>.</w:t>
            </w:r>
          </w:p>
          <w:p w14:paraId="43AAF5AD" w14:textId="54F0C4CD" w:rsidR="00C4342F" w:rsidRPr="003D6738" w:rsidRDefault="183A762D" w:rsidP="0E3C54E5">
            <w:pPr>
              <w:spacing w:after="0"/>
              <w:contextualSpacing/>
              <w:rPr>
                <w:rFonts w:cstheme="minorBidi"/>
              </w:rPr>
            </w:pPr>
            <w:r w:rsidRPr="0E3C54E5">
              <w:rPr>
                <w:rFonts w:cstheme="minorBidi"/>
              </w:rPr>
              <w:t>3.2.</w:t>
            </w:r>
            <w:r w:rsidR="00A85676" w:rsidRPr="0E3C54E5">
              <w:rPr>
                <w:rFonts w:cstheme="minorBidi"/>
              </w:rPr>
              <w:t xml:space="preserve"> </w:t>
            </w:r>
            <w:r w:rsidR="04A1A5F4" w:rsidRPr="0E3C54E5">
              <w:rPr>
                <w:rFonts w:cstheme="minorBidi"/>
              </w:rPr>
              <w:t xml:space="preserve">Zainstalowane </w:t>
            </w:r>
            <w:r w:rsidR="005026D6" w:rsidRPr="0E3C54E5">
              <w:rPr>
                <w:rFonts w:cstheme="minorBidi"/>
              </w:rPr>
              <w:t>5</w:t>
            </w:r>
            <w:r w:rsidR="04A1A5F4" w:rsidRPr="0E3C54E5">
              <w:rPr>
                <w:rFonts w:cstheme="minorBidi"/>
              </w:rPr>
              <w:t xml:space="preserve"> dysk</w:t>
            </w:r>
            <w:r w:rsidR="005026D6" w:rsidRPr="0E3C54E5">
              <w:rPr>
                <w:rFonts w:cstheme="minorBidi"/>
              </w:rPr>
              <w:t>ów</w:t>
            </w:r>
            <w:r w:rsidR="04A1A5F4" w:rsidRPr="0E3C54E5">
              <w:rPr>
                <w:rFonts w:cstheme="minorBidi"/>
              </w:rPr>
              <w:t xml:space="preserve"> </w:t>
            </w:r>
            <w:r w:rsidR="5EA47596" w:rsidRPr="0E3C54E5">
              <w:rPr>
                <w:rFonts w:cstheme="minorBidi"/>
              </w:rPr>
              <w:t>mixed use</w:t>
            </w:r>
            <w:r w:rsidR="00285CF6" w:rsidRPr="0E3C54E5">
              <w:rPr>
                <w:rFonts w:cstheme="minorBidi"/>
              </w:rPr>
              <w:t>, Endurance Class: ≥ 1 DWPD, Performance Class: F (100</w:t>
            </w:r>
            <w:r w:rsidR="0644FD5B" w:rsidRPr="0E3C54E5">
              <w:rPr>
                <w:rFonts w:cstheme="minorBidi"/>
              </w:rPr>
              <w:t xml:space="preserve"> k</w:t>
            </w:r>
            <w:r w:rsidR="00285CF6" w:rsidRPr="0E3C54E5">
              <w:rPr>
                <w:rFonts w:cstheme="minorBidi"/>
              </w:rPr>
              <w:t>–349</w:t>
            </w:r>
            <w:r w:rsidR="0644FD5B" w:rsidRPr="0E3C54E5">
              <w:rPr>
                <w:rFonts w:cstheme="minorBidi"/>
              </w:rPr>
              <w:t xml:space="preserve"> k writes/s</w:t>
            </w:r>
            <w:r w:rsidR="00285CF6" w:rsidRPr="0E3C54E5">
              <w:rPr>
                <w:rFonts w:cstheme="minorBidi"/>
              </w:rPr>
              <w:t xml:space="preserve">) </w:t>
            </w:r>
            <w:r w:rsidR="5EA47596" w:rsidRPr="0E3C54E5">
              <w:rPr>
                <w:rFonts w:cstheme="minorBidi"/>
              </w:rPr>
              <w:t>lub wyższe</w:t>
            </w:r>
            <w:r w:rsidR="00C73FA6" w:rsidRPr="0E3C54E5">
              <w:rPr>
                <w:rFonts w:cstheme="minorBidi"/>
              </w:rPr>
              <w:t>j</w:t>
            </w:r>
            <w:r w:rsidR="00285CF6" w:rsidRPr="0E3C54E5">
              <w:rPr>
                <w:rFonts w:cstheme="minorBidi"/>
              </w:rPr>
              <w:t>,</w:t>
            </w:r>
            <w:r w:rsidR="2F06F4D2" w:rsidRPr="0E3C54E5">
              <w:rPr>
                <w:rFonts w:cstheme="minorBidi"/>
              </w:rPr>
              <w:t xml:space="preserve"> </w:t>
            </w:r>
            <w:r w:rsidR="04A1A5F4" w:rsidRPr="0E3C54E5">
              <w:rPr>
                <w:rFonts w:cstheme="minorBidi"/>
              </w:rPr>
              <w:t>min.</w:t>
            </w:r>
            <w:r w:rsidR="4195BEC2" w:rsidRPr="0E3C54E5">
              <w:rPr>
                <w:rFonts w:cstheme="minorBidi"/>
              </w:rPr>
              <w:t xml:space="preserve"> 1,9</w:t>
            </w:r>
            <w:r w:rsidR="04A1A5F4" w:rsidRPr="0E3C54E5">
              <w:rPr>
                <w:rFonts w:cstheme="minorBidi"/>
              </w:rPr>
              <w:t xml:space="preserve"> TB</w:t>
            </w:r>
            <w:r w:rsidR="00285CF6" w:rsidRPr="0E3C54E5">
              <w:rPr>
                <w:rFonts w:cstheme="minorBidi"/>
              </w:rPr>
              <w:t>,</w:t>
            </w:r>
            <w:r w:rsidR="04A1A5F4" w:rsidRPr="0E3C54E5">
              <w:rPr>
                <w:rFonts w:cstheme="minorBidi"/>
              </w:rPr>
              <w:t xml:space="preserve"> </w:t>
            </w:r>
            <w:r w:rsidR="2F06F4D2" w:rsidRPr="0E3C54E5">
              <w:rPr>
                <w:rFonts w:cstheme="minorBidi"/>
              </w:rPr>
              <w:t>NVMe</w:t>
            </w:r>
            <w:r w:rsidR="00285CF6" w:rsidRPr="0E3C54E5">
              <w:rPr>
                <w:rFonts w:cstheme="minorBidi"/>
              </w:rPr>
              <w:t xml:space="preserve"> TLC</w:t>
            </w:r>
            <w:r w:rsidR="2F06F4D2" w:rsidRPr="0E3C54E5">
              <w:rPr>
                <w:rFonts w:cstheme="minorBidi"/>
              </w:rPr>
              <w:t xml:space="preserve"> </w:t>
            </w:r>
            <w:r w:rsidR="197BAE57" w:rsidRPr="0E3C54E5">
              <w:rPr>
                <w:rFonts w:cstheme="minorBidi"/>
              </w:rPr>
              <w:t>każdy</w:t>
            </w:r>
            <w:r w:rsidR="00285CF6" w:rsidRPr="0E3C54E5">
              <w:rPr>
                <w:rFonts w:cstheme="minorBidi"/>
              </w:rPr>
              <w:t>.</w:t>
            </w:r>
            <w:r w:rsidR="197BAE57" w:rsidRPr="0E3C54E5">
              <w:rPr>
                <w:rFonts w:cstheme="minorBidi"/>
              </w:rPr>
              <w:t xml:space="preserve"> </w:t>
            </w:r>
            <w:r w:rsidR="0644FD5B" w:rsidRPr="0E3C54E5">
              <w:rPr>
                <w:rFonts w:cstheme="minorBidi"/>
              </w:rPr>
              <w:t>Dyski k</w:t>
            </w:r>
            <w:r w:rsidR="00285CF6" w:rsidRPr="0E3C54E5">
              <w:rPr>
                <w:rFonts w:cstheme="minorBidi"/>
              </w:rPr>
              <w:t>ompatybilne z vSAN ESA (Express Storage Architecture)</w:t>
            </w:r>
            <w:r w:rsidR="3A7C1086" w:rsidRPr="0E3C54E5">
              <w:rPr>
                <w:rFonts w:cstheme="minorBidi"/>
              </w:rPr>
              <w:t>, HOT-PLUG</w:t>
            </w:r>
            <w:r w:rsidR="04A1A5F4" w:rsidRPr="0E3C54E5">
              <w:rPr>
                <w:rFonts w:cstheme="minorBidi"/>
              </w:rPr>
              <w:t>.</w:t>
            </w:r>
            <w:r w:rsidR="4302E30A">
              <w:br/>
            </w:r>
            <w:r w:rsidR="7BC504AB" w:rsidRPr="0E3C54E5">
              <w:rPr>
                <w:rFonts w:cstheme="minorBidi"/>
              </w:rPr>
              <w:t>3.</w:t>
            </w:r>
            <w:r w:rsidR="0644FD5B" w:rsidRPr="0E3C54E5">
              <w:rPr>
                <w:rFonts w:cstheme="minorBidi"/>
              </w:rPr>
              <w:t>3</w:t>
            </w:r>
            <w:r w:rsidR="7BC504AB" w:rsidRPr="0E3C54E5">
              <w:rPr>
                <w:rFonts w:cstheme="minorBidi"/>
              </w:rPr>
              <w:t xml:space="preserve">. </w:t>
            </w:r>
            <w:r w:rsidR="203F4617" w:rsidRPr="0E3C54E5">
              <w:rPr>
                <w:rFonts w:cstheme="minorBidi"/>
              </w:rPr>
              <w:t xml:space="preserve">Serwer musi </w:t>
            </w:r>
            <w:r w:rsidR="655C87A9" w:rsidRPr="0E3C54E5">
              <w:rPr>
                <w:rFonts w:cstheme="minorBidi"/>
              </w:rPr>
              <w:t>posiadać</w:t>
            </w:r>
            <w:r w:rsidR="203F4617" w:rsidRPr="0E3C54E5">
              <w:rPr>
                <w:rFonts w:cstheme="minorBidi"/>
              </w:rPr>
              <w:t xml:space="preserve"> </w:t>
            </w:r>
            <w:r w:rsidR="00150085" w:rsidRPr="0E3C54E5">
              <w:rPr>
                <w:rFonts w:cstheme="minorBidi"/>
              </w:rPr>
              <w:t xml:space="preserve">min. 16 </w:t>
            </w:r>
            <w:r w:rsidR="203F4617" w:rsidRPr="0E3C54E5">
              <w:rPr>
                <w:rFonts w:cstheme="minorBidi"/>
              </w:rPr>
              <w:t xml:space="preserve">zatok </w:t>
            </w:r>
            <w:r w:rsidR="655C87A9" w:rsidRPr="0E3C54E5">
              <w:rPr>
                <w:rFonts w:cstheme="minorBidi"/>
              </w:rPr>
              <w:t>dyskow</w:t>
            </w:r>
            <w:r w:rsidR="00150085" w:rsidRPr="0E3C54E5">
              <w:rPr>
                <w:rFonts w:cstheme="minorBidi"/>
              </w:rPr>
              <w:t>ych</w:t>
            </w:r>
            <w:r w:rsidR="655C87A9" w:rsidRPr="0E3C54E5">
              <w:rPr>
                <w:rFonts w:cstheme="minorBidi"/>
              </w:rPr>
              <w:t xml:space="preserve"> 2,5”</w:t>
            </w:r>
            <w:r w:rsidR="0A8566BC" w:rsidRPr="0E3C54E5">
              <w:rPr>
                <w:rFonts w:cstheme="minorBidi"/>
              </w:rPr>
              <w:t xml:space="preserve"> dostępn</w:t>
            </w:r>
            <w:r w:rsidR="00150085" w:rsidRPr="0E3C54E5">
              <w:rPr>
                <w:rFonts w:cstheme="minorBidi"/>
              </w:rPr>
              <w:t>ych</w:t>
            </w:r>
            <w:r w:rsidR="0A8566BC" w:rsidRPr="0E3C54E5">
              <w:rPr>
                <w:rFonts w:cstheme="minorBidi"/>
              </w:rPr>
              <w:t xml:space="preserve"> z przodu obudowy serwera.</w:t>
            </w:r>
          </w:p>
        </w:tc>
      </w:tr>
      <w:tr w:rsidR="00B026A7" w:rsidRPr="003D6738" w14:paraId="643635B7" w14:textId="77777777" w:rsidTr="0E3C54E5">
        <w:tblPrEx>
          <w:tblLook w:val="04A0" w:firstRow="1" w:lastRow="0" w:firstColumn="1" w:lastColumn="0" w:noHBand="0" w:noVBand="1"/>
        </w:tblPrEx>
        <w:tc>
          <w:tcPr>
            <w:tcW w:w="659" w:type="dxa"/>
          </w:tcPr>
          <w:p w14:paraId="31FC1537" w14:textId="37009A9C" w:rsidR="00B026A7" w:rsidRPr="003D6738" w:rsidRDefault="00B026A7" w:rsidP="497B2BD0">
            <w:pPr>
              <w:spacing w:line="256" w:lineRule="auto"/>
              <w:jc w:val="center"/>
              <w:rPr>
                <w:rFonts w:cstheme="minorBidi"/>
              </w:rPr>
            </w:pPr>
            <w:r w:rsidRPr="497B2BD0">
              <w:rPr>
                <w:rFonts w:cstheme="minorBidi"/>
              </w:rPr>
              <w:lastRenderedPageBreak/>
              <w:t>4.</w:t>
            </w:r>
          </w:p>
        </w:tc>
        <w:tc>
          <w:tcPr>
            <w:tcW w:w="1746" w:type="dxa"/>
          </w:tcPr>
          <w:p w14:paraId="2EC6BA52" w14:textId="45BC05ED" w:rsidR="00B026A7" w:rsidRPr="003D6738" w:rsidRDefault="00B026A7" w:rsidP="497B2BD0">
            <w:pPr>
              <w:spacing w:line="256" w:lineRule="auto"/>
              <w:rPr>
                <w:rFonts w:cstheme="minorBidi"/>
              </w:rPr>
            </w:pPr>
            <w:r w:rsidRPr="497B2BD0">
              <w:rPr>
                <w:rFonts w:cstheme="minorBidi"/>
              </w:rPr>
              <w:t>Bezpieczeństwo platformy</w:t>
            </w:r>
          </w:p>
        </w:tc>
        <w:tc>
          <w:tcPr>
            <w:tcW w:w="7655" w:type="dxa"/>
          </w:tcPr>
          <w:p w14:paraId="17C4569B" w14:textId="77777777" w:rsidR="00795F14" w:rsidRPr="003D6738" w:rsidRDefault="00B026A7" w:rsidP="497B2BD0">
            <w:pPr>
              <w:spacing w:after="0"/>
              <w:contextualSpacing/>
              <w:rPr>
                <w:rFonts w:cstheme="minorBidi"/>
              </w:rPr>
            </w:pPr>
            <w:r w:rsidRPr="497B2BD0">
              <w:rPr>
                <w:rFonts w:cstheme="minorBidi"/>
              </w:rPr>
              <w:t xml:space="preserve">4.1 Serwer musi posiadać oraz mieć fabrycznie zainstalowany i włączony moduł TPM 2.0 (Trusted Platform Module), zgodny ze specyfikacją TCG oraz zintegrowany z firmware UEFI płyty głównej (dopuszcza się TPM 2.0 typu discrete lub firmware TPM zgodnie z dokumentacją producenta serwera). </w:t>
            </w:r>
          </w:p>
          <w:p w14:paraId="3733A419" w14:textId="33BACC28" w:rsidR="00B026A7" w:rsidRPr="003D6738" w:rsidRDefault="6B58FC30" w:rsidP="0E3C54E5">
            <w:pPr>
              <w:spacing w:after="0"/>
              <w:contextualSpacing/>
              <w:rPr>
                <w:rFonts w:cstheme="minorBidi"/>
              </w:rPr>
            </w:pPr>
            <w:r w:rsidRPr="0E3C54E5">
              <w:rPr>
                <w:rFonts w:cstheme="minorBidi"/>
              </w:rPr>
              <w:t>4.2 Włączony UEFI Secure Boot</w:t>
            </w:r>
          </w:p>
          <w:p w14:paraId="18E6AAE1" w14:textId="2036F2A6" w:rsidR="00795F14" w:rsidRPr="003D6738" w:rsidRDefault="6B58FC30" w:rsidP="0E3C54E5">
            <w:pPr>
              <w:spacing w:after="0"/>
              <w:contextualSpacing/>
              <w:rPr>
                <w:rFonts w:cstheme="minorBidi"/>
              </w:rPr>
            </w:pPr>
            <w:r w:rsidRPr="0E3C54E5">
              <w:rPr>
                <w:rFonts w:cstheme="minorBidi"/>
              </w:rPr>
              <w:t>4.3</w:t>
            </w:r>
            <w:r w:rsidR="10830288" w:rsidRPr="0E3C54E5">
              <w:rPr>
                <w:rFonts w:cstheme="minorBidi"/>
              </w:rPr>
              <w:t xml:space="preserve"> </w:t>
            </w:r>
            <w:r w:rsidRPr="0E3C54E5">
              <w:rPr>
                <w:rFonts w:cstheme="minorBidi"/>
              </w:rPr>
              <w:t>TPM 2.0 skonfigurowany w BIOS/UEFI do pracy z SHA</w:t>
            </w:r>
            <w:r w:rsidRPr="0E3C54E5">
              <w:rPr>
                <w:rFonts w:ascii="Cambria Math" w:hAnsi="Cambria Math" w:cs="Cambria Math"/>
              </w:rPr>
              <w:t>‑</w:t>
            </w:r>
            <w:r w:rsidRPr="0E3C54E5">
              <w:rPr>
                <w:rFonts w:cstheme="minorBidi"/>
              </w:rPr>
              <w:t>256 oraz interfejsem TIS/FIFO (nie CRB), zgodnie z zaleceniami producenta serwera i dokumentacją vSphere.</w:t>
            </w:r>
          </w:p>
        </w:tc>
      </w:tr>
    </w:tbl>
    <w:p w14:paraId="377299B5" w14:textId="77777777" w:rsidR="00AD0BCD" w:rsidRPr="003D6738" w:rsidRDefault="00AD0BCD" w:rsidP="497B2BD0">
      <w:pPr>
        <w:spacing w:after="0"/>
        <w:textAlignment w:val="baseline"/>
        <w:rPr>
          <w:rFonts w:cstheme="minorBidi"/>
        </w:rPr>
      </w:pPr>
    </w:p>
    <w:p w14:paraId="36B69671" w14:textId="387D32E7" w:rsidR="00AD0BCD" w:rsidRPr="003D6738" w:rsidRDefault="3546B859" w:rsidP="004027D0">
      <w:pPr>
        <w:pStyle w:val="Akapitzlist"/>
        <w:numPr>
          <w:ilvl w:val="1"/>
          <w:numId w:val="7"/>
        </w:numPr>
        <w:spacing w:after="0" w:line="276" w:lineRule="auto"/>
        <w:contextualSpacing/>
        <w:rPr>
          <w:rFonts w:cstheme="minorBidi"/>
          <w:lang w:val="pl-PL"/>
        </w:rPr>
      </w:pPr>
      <w:r w:rsidRPr="0E3C54E5">
        <w:rPr>
          <w:rFonts w:cstheme="minorBidi"/>
          <w:lang w:val="pl-PL"/>
        </w:rPr>
        <w:t xml:space="preserve">Wymagania </w:t>
      </w:r>
      <w:r w:rsidR="0A8566BC" w:rsidRPr="0E3C54E5">
        <w:rPr>
          <w:rFonts w:cstheme="minorBidi"/>
          <w:lang w:val="pl-PL"/>
        </w:rPr>
        <w:t xml:space="preserve">minimalne </w:t>
      </w:r>
      <w:r w:rsidR="00056945" w:rsidRPr="0E3C54E5">
        <w:rPr>
          <w:rFonts w:cstheme="minorBidi"/>
          <w:lang w:val="pl-PL"/>
        </w:rPr>
        <w:t xml:space="preserve">- </w:t>
      </w:r>
      <w:r w:rsidR="00044B7D" w:rsidRPr="0E3C54E5">
        <w:rPr>
          <w:rFonts w:cstheme="minorBidi"/>
          <w:lang w:val="pl-PL"/>
        </w:rPr>
        <w:t>szczegółowe dla serwera</w:t>
      </w:r>
      <w:r w:rsidRPr="0E3C54E5">
        <w:rPr>
          <w:rFonts w:cstheme="minorBidi"/>
          <w:lang w:val="pl-PL"/>
        </w:rPr>
        <w:t>.</w:t>
      </w:r>
    </w:p>
    <w:p w14:paraId="36BB510E" w14:textId="78C9E7EE" w:rsidR="1C76CF6E" w:rsidRDefault="1C76CF6E" w:rsidP="001357DA">
      <w:pPr>
        <w:pStyle w:val="Akapitzlist"/>
        <w:numPr>
          <w:ilvl w:val="0"/>
          <w:numId w:val="0"/>
        </w:numPr>
        <w:spacing w:after="0" w:line="240" w:lineRule="auto"/>
        <w:ind w:left="720"/>
        <w:rPr>
          <w:rFonts w:cstheme="minorBidi"/>
          <w:lang w:val="pl-PL"/>
        </w:rPr>
      </w:pPr>
      <w:r w:rsidRPr="0E3C54E5">
        <w:rPr>
          <w:rFonts w:cstheme="minorBidi"/>
          <w:lang w:val="pl-PL"/>
        </w:rPr>
        <w:t>Tab. Nr. 2</w:t>
      </w:r>
    </w:p>
    <w:tbl>
      <w:tblPr>
        <w:tblStyle w:val="Tabela-Siatka2"/>
        <w:tblW w:w="9915" w:type="dxa"/>
        <w:tblLayout w:type="fixed"/>
        <w:tblLook w:val="06A0" w:firstRow="1" w:lastRow="0" w:firstColumn="1" w:lastColumn="0" w:noHBand="1" w:noVBand="1"/>
      </w:tblPr>
      <w:tblGrid>
        <w:gridCol w:w="659"/>
        <w:gridCol w:w="1603"/>
        <w:gridCol w:w="7653"/>
      </w:tblGrid>
      <w:tr w:rsidR="002F004D" w:rsidRPr="003D6738" w14:paraId="2D470933" w14:textId="77777777" w:rsidTr="4B81C135">
        <w:tc>
          <w:tcPr>
            <w:tcW w:w="6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A2DD25" w14:textId="77777777" w:rsidR="003636B1" w:rsidRPr="003D6738" w:rsidRDefault="137E9A3B" w:rsidP="497B2BD0">
            <w:pPr>
              <w:jc w:val="center"/>
              <w:rPr>
                <w:rFonts w:cstheme="minorBidi"/>
              </w:rPr>
            </w:pPr>
            <w:r w:rsidRPr="497B2BD0">
              <w:rPr>
                <w:rFonts w:cstheme="minorBidi"/>
              </w:rPr>
              <w:t>Lp.</w:t>
            </w:r>
          </w:p>
        </w:tc>
        <w:tc>
          <w:tcPr>
            <w:tcW w:w="160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C0A896B" w14:textId="77777777" w:rsidR="003636B1" w:rsidRPr="003D6738" w:rsidRDefault="137E9A3B" w:rsidP="497B2BD0">
            <w:pPr>
              <w:rPr>
                <w:rFonts w:cstheme="minorBidi"/>
              </w:rPr>
            </w:pPr>
            <w:r w:rsidRPr="497B2BD0">
              <w:rPr>
                <w:rFonts w:cstheme="minorBidi"/>
              </w:rPr>
              <w:t>Obszar</w:t>
            </w:r>
          </w:p>
        </w:tc>
        <w:tc>
          <w:tcPr>
            <w:tcW w:w="765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B469176" w14:textId="77777777" w:rsidR="003636B1" w:rsidRPr="003D6738" w:rsidRDefault="137E9A3B" w:rsidP="497B2BD0">
            <w:pPr>
              <w:rPr>
                <w:rFonts w:cstheme="minorBidi"/>
              </w:rPr>
            </w:pPr>
            <w:r w:rsidRPr="497B2BD0">
              <w:rPr>
                <w:rFonts w:cstheme="minorBidi"/>
              </w:rPr>
              <w:t>Wymaganie</w:t>
            </w:r>
          </w:p>
        </w:tc>
      </w:tr>
      <w:tr w:rsidR="002F004D" w:rsidRPr="003D6738" w14:paraId="65FF4148"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1938BF3F" w14:textId="77777777" w:rsidR="003636B1" w:rsidRPr="003D6738" w:rsidRDefault="137E9A3B" w:rsidP="497B2BD0">
            <w:pPr>
              <w:spacing w:line="256" w:lineRule="auto"/>
              <w:jc w:val="center"/>
              <w:rPr>
                <w:rFonts w:cstheme="minorBidi"/>
              </w:rPr>
            </w:pPr>
            <w:r w:rsidRPr="497B2BD0">
              <w:rPr>
                <w:rFonts w:cstheme="minorBidi"/>
              </w:rPr>
              <w:t>1.</w:t>
            </w:r>
          </w:p>
        </w:tc>
        <w:tc>
          <w:tcPr>
            <w:tcW w:w="1603" w:type="dxa"/>
            <w:tcBorders>
              <w:top w:val="single" w:sz="4" w:space="0" w:color="auto"/>
              <w:left w:val="single" w:sz="4" w:space="0" w:color="auto"/>
              <w:bottom w:val="single" w:sz="4" w:space="0" w:color="auto"/>
              <w:right w:val="single" w:sz="4" w:space="0" w:color="auto"/>
            </w:tcBorders>
            <w:hideMark/>
          </w:tcPr>
          <w:p w14:paraId="310DA5EF" w14:textId="77777777" w:rsidR="003636B1" w:rsidRPr="003D6738" w:rsidRDefault="137E9A3B" w:rsidP="497B2BD0">
            <w:pPr>
              <w:spacing w:line="256" w:lineRule="auto"/>
              <w:rPr>
                <w:rFonts w:cstheme="minorBidi"/>
              </w:rPr>
            </w:pPr>
            <w:r w:rsidRPr="497B2BD0">
              <w:rPr>
                <w:rFonts w:cstheme="minorBidi"/>
              </w:rPr>
              <w:t>Obudowa</w:t>
            </w:r>
          </w:p>
        </w:tc>
        <w:tc>
          <w:tcPr>
            <w:tcW w:w="7653" w:type="dxa"/>
            <w:tcBorders>
              <w:top w:val="single" w:sz="4" w:space="0" w:color="auto"/>
              <w:left w:val="single" w:sz="4" w:space="0" w:color="auto"/>
              <w:bottom w:val="single" w:sz="4" w:space="0" w:color="auto"/>
              <w:right w:val="single" w:sz="4" w:space="0" w:color="auto"/>
            </w:tcBorders>
            <w:hideMark/>
          </w:tcPr>
          <w:p w14:paraId="73A397B0" w14:textId="75557402" w:rsidR="003636B1" w:rsidRPr="003D6738" w:rsidRDefault="0088643A" w:rsidP="497B2BD0">
            <w:pPr>
              <w:pStyle w:val="Akapitzlist"/>
              <w:numPr>
                <w:ilvl w:val="0"/>
                <w:numId w:val="0"/>
              </w:numPr>
              <w:spacing w:after="0"/>
              <w:contextualSpacing/>
              <w:rPr>
                <w:rFonts w:cstheme="minorBidi"/>
                <w:lang w:val="pl-PL"/>
              </w:rPr>
            </w:pPr>
            <w:r w:rsidRPr="004A4523">
              <w:rPr>
                <w:rFonts w:cstheme="minorBidi"/>
                <w:lang w:val="pl-PL"/>
              </w:rPr>
              <w:t xml:space="preserve">1.1. </w:t>
            </w:r>
            <w:r w:rsidR="54BAB6AB" w:rsidRPr="004A4523">
              <w:rPr>
                <w:rFonts w:cstheme="minorBidi"/>
                <w:lang w:val="pl-PL"/>
              </w:rPr>
              <w:t>Maksymalnie 2U RACK 19 cali (wraz z szynami montażowymi oraz ramieniem do prowadzenia kabli, umożliwiającymi serwisowanie serwera w szafie rack bez jego wyłączania).</w:t>
            </w:r>
          </w:p>
        </w:tc>
      </w:tr>
      <w:tr w:rsidR="002F004D" w:rsidRPr="003D6738" w14:paraId="5935BB4B"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31E4DD40" w14:textId="3DE3D460" w:rsidR="003636B1" w:rsidRPr="003D6738" w:rsidRDefault="00B76B86" w:rsidP="497B2BD0">
            <w:pPr>
              <w:jc w:val="center"/>
              <w:rPr>
                <w:rFonts w:cstheme="minorBidi"/>
              </w:rPr>
            </w:pPr>
            <w:r w:rsidRPr="497B2BD0">
              <w:rPr>
                <w:rFonts w:cstheme="minorBidi"/>
              </w:rPr>
              <w:t>2</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34089F1E" w14:textId="77777777" w:rsidR="003636B1" w:rsidRPr="003D6738" w:rsidRDefault="137E9A3B" w:rsidP="497B2BD0">
            <w:pPr>
              <w:spacing w:line="256" w:lineRule="auto"/>
              <w:rPr>
                <w:rFonts w:cstheme="minorBidi"/>
              </w:rPr>
            </w:pPr>
            <w:r w:rsidRPr="497B2BD0">
              <w:rPr>
                <w:rFonts w:cstheme="minorBidi"/>
              </w:rPr>
              <w:t>Sloty rozszerzeń</w:t>
            </w:r>
          </w:p>
        </w:tc>
        <w:tc>
          <w:tcPr>
            <w:tcW w:w="7653" w:type="dxa"/>
            <w:tcBorders>
              <w:top w:val="single" w:sz="4" w:space="0" w:color="auto"/>
              <w:left w:val="single" w:sz="4" w:space="0" w:color="auto"/>
              <w:bottom w:val="single" w:sz="4" w:space="0" w:color="auto"/>
              <w:right w:val="single" w:sz="4" w:space="0" w:color="auto"/>
            </w:tcBorders>
            <w:hideMark/>
          </w:tcPr>
          <w:p w14:paraId="49CD0496" w14:textId="7543AAB2" w:rsidR="003636B1" w:rsidRPr="003D6738" w:rsidRDefault="00B76B86" w:rsidP="497B2BD0">
            <w:pPr>
              <w:spacing w:after="0"/>
              <w:contextualSpacing/>
              <w:jc w:val="left"/>
              <w:rPr>
                <w:rFonts w:cstheme="minorBidi"/>
              </w:rPr>
            </w:pPr>
            <w:r w:rsidRPr="497B2BD0">
              <w:rPr>
                <w:rFonts w:cstheme="minorBidi"/>
              </w:rPr>
              <w:t>2</w:t>
            </w:r>
            <w:r w:rsidR="3B6FA9A5" w:rsidRPr="497B2BD0">
              <w:rPr>
                <w:rFonts w:cstheme="minorBidi"/>
              </w:rPr>
              <w:t>.1.</w:t>
            </w:r>
            <w:r w:rsidR="001332B7" w:rsidRPr="497B2BD0">
              <w:rPr>
                <w:rFonts w:cstheme="minorBidi"/>
              </w:rPr>
              <w:t xml:space="preserve"> </w:t>
            </w:r>
            <w:bookmarkStart w:id="0" w:name="_Hlk206757054"/>
            <w:r w:rsidR="001332B7" w:rsidRPr="497B2BD0">
              <w:rPr>
                <w:rFonts w:cstheme="minorBidi"/>
              </w:rPr>
              <w:t>Serwer musi udostępniać minimum 3 nieobsadzone gniazda PCI-Express generacji 5 z dostępem zewnętrznym, w tym min. 2 sloty x16 (szybkość slotu – bus width), po spełnieniu wszystkich wymagań opisanych w niniejszym OPZ.</w:t>
            </w:r>
            <w:r w:rsidR="3B6FA9A5" w:rsidRPr="497B2BD0">
              <w:rPr>
                <w:rFonts w:cstheme="minorBidi"/>
              </w:rPr>
              <w:t xml:space="preserve"> </w:t>
            </w:r>
            <w:bookmarkEnd w:id="0"/>
          </w:p>
        </w:tc>
      </w:tr>
      <w:tr w:rsidR="002F004D" w:rsidRPr="003D6738" w14:paraId="40391D9E"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7D5F0D0D" w14:textId="355B1382" w:rsidR="003636B1" w:rsidRPr="003D6738" w:rsidRDefault="00B76B86" w:rsidP="497B2BD0">
            <w:pPr>
              <w:spacing w:line="256" w:lineRule="auto"/>
              <w:jc w:val="center"/>
              <w:rPr>
                <w:rFonts w:cstheme="minorBidi"/>
              </w:rPr>
            </w:pPr>
            <w:r w:rsidRPr="497B2BD0">
              <w:rPr>
                <w:rFonts w:cstheme="minorBidi"/>
              </w:rPr>
              <w:t>3</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42849FA3" w14:textId="77777777" w:rsidR="003636B1" w:rsidRPr="003D6738" w:rsidRDefault="137E9A3B" w:rsidP="497B2BD0">
            <w:pPr>
              <w:spacing w:line="256" w:lineRule="auto"/>
              <w:rPr>
                <w:rFonts w:cstheme="minorBidi"/>
              </w:rPr>
            </w:pPr>
            <w:r w:rsidRPr="497B2BD0">
              <w:rPr>
                <w:rFonts w:cstheme="minorBidi"/>
              </w:rPr>
              <w:t>Dyski twarde</w:t>
            </w:r>
          </w:p>
        </w:tc>
        <w:tc>
          <w:tcPr>
            <w:tcW w:w="7653" w:type="dxa"/>
            <w:tcBorders>
              <w:top w:val="single" w:sz="4" w:space="0" w:color="auto"/>
              <w:left w:val="single" w:sz="4" w:space="0" w:color="auto"/>
              <w:bottom w:val="single" w:sz="4" w:space="0" w:color="auto"/>
              <w:right w:val="single" w:sz="4" w:space="0" w:color="auto"/>
            </w:tcBorders>
            <w:hideMark/>
          </w:tcPr>
          <w:p w14:paraId="6ACFC803" w14:textId="78F20AFA" w:rsidR="00B26BC6" w:rsidRPr="003D6738" w:rsidRDefault="00B76B86" w:rsidP="0E3C54E5">
            <w:pPr>
              <w:spacing w:before="120" w:line="257" w:lineRule="auto"/>
              <w:jc w:val="left"/>
              <w:rPr>
                <w:rFonts w:eastAsia="Aptos" w:cstheme="minorBidi"/>
                <w:kern w:val="2"/>
                <w14:ligatures w14:val="standardContextual"/>
              </w:rPr>
            </w:pPr>
            <w:r w:rsidRPr="0E3C54E5">
              <w:rPr>
                <w:rFonts w:cstheme="minorBidi"/>
              </w:rPr>
              <w:t>3</w:t>
            </w:r>
            <w:r w:rsidR="30735C00" w:rsidRPr="0E3C54E5">
              <w:rPr>
                <w:rFonts w:cstheme="minorBidi"/>
              </w:rPr>
              <w:t xml:space="preserve">.1. </w:t>
            </w:r>
            <w:r w:rsidR="00806C5A" w:rsidRPr="0E3C54E5">
              <w:rPr>
                <w:rFonts w:eastAsia="Aptos" w:cstheme="minorBidi"/>
                <w:kern w:val="2"/>
                <w14:ligatures w14:val="standardContextual"/>
              </w:rPr>
              <w:t xml:space="preserve">Dostarczone dyski muszą być wspierane przez producenta oprogramowania BROADCOM dla produktu vSphere </w:t>
            </w:r>
            <w:r w:rsidR="005026D6" w:rsidRPr="0E3C54E5">
              <w:rPr>
                <w:rFonts w:eastAsia="Aptos" w:cstheme="minorBidi"/>
                <w:kern w:val="2"/>
                <w14:ligatures w14:val="standardContextual"/>
              </w:rPr>
              <w:t>9</w:t>
            </w:r>
            <w:r w:rsidR="00806C5A" w:rsidRPr="0E3C54E5">
              <w:rPr>
                <w:rFonts w:eastAsia="Aptos" w:cstheme="minorBidi"/>
                <w:kern w:val="2"/>
                <w14:ligatures w14:val="standardContextual"/>
              </w:rPr>
              <w:t>.</w:t>
            </w:r>
            <w:r w:rsidR="00285CF6" w:rsidRPr="0E3C54E5">
              <w:rPr>
                <w:rFonts w:eastAsia="Aptos" w:cstheme="minorBidi"/>
                <w:kern w:val="2"/>
                <w14:ligatures w14:val="standardContextual"/>
              </w:rPr>
              <w:t>x</w:t>
            </w:r>
            <w:r w:rsidR="00806C5A" w:rsidRPr="0E3C54E5">
              <w:rPr>
                <w:rFonts w:eastAsia="Aptos" w:cstheme="minorBidi"/>
                <w:kern w:val="2"/>
                <w14:ligatures w14:val="standardContextual"/>
              </w:rPr>
              <w:t xml:space="preserve"> </w:t>
            </w:r>
            <w:r w:rsidR="005D7DD5" w:rsidRPr="0E3C54E5">
              <w:rPr>
                <w:rFonts w:eastAsia="Aptos" w:cstheme="minorBidi"/>
                <w:kern w:val="2"/>
                <w14:ligatures w14:val="standardContextual"/>
              </w:rPr>
              <w:t xml:space="preserve">GA </w:t>
            </w:r>
            <w:r w:rsidR="00806C5A" w:rsidRPr="0E3C54E5">
              <w:rPr>
                <w:rFonts w:eastAsia="Aptos" w:cstheme="minorBidi"/>
                <w:kern w:val="2"/>
                <w14:ligatures w14:val="standardContextual"/>
              </w:rPr>
              <w:t>(vSAN) i wyższych (nie dotyczy dysków</w:t>
            </w:r>
            <w:r w:rsidR="00C73FA6" w:rsidRPr="4B81C135">
              <w:rPr>
                <w:rFonts w:eastAsia="Aptos" w:cstheme="minorBidi"/>
              </w:rPr>
              <w:t xml:space="preserve"> </w:t>
            </w:r>
            <w:r w:rsidR="00C73FA6" w:rsidRPr="4B81C135">
              <w:rPr>
                <w:rFonts w:cstheme="minorBidi"/>
              </w:rPr>
              <w:t>służących do uruchamiania systemu</w:t>
            </w:r>
            <w:r w:rsidR="00806C5A" w:rsidRPr="0E3C54E5">
              <w:rPr>
                <w:rFonts w:eastAsia="Aptos" w:cstheme="minorBidi"/>
                <w:kern w:val="2"/>
                <w14:ligatures w14:val="standardContextual"/>
              </w:rPr>
              <w:t xml:space="preserve">, o których mowa w pkt. </w:t>
            </w:r>
            <w:r w:rsidR="00806C5A" w:rsidRPr="001357DA">
              <w:rPr>
                <w:rFonts w:eastAsia="Aptos" w:cstheme="minorBidi"/>
                <w:kern w:val="2"/>
                <w14:ligatures w14:val="standardContextual"/>
              </w:rPr>
              <w:t xml:space="preserve">3.1 </w:t>
            </w:r>
            <w:r w:rsidR="30273929" w:rsidRPr="001357DA">
              <w:rPr>
                <w:rFonts w:eastAsia="Aptos" w:cstheme="minorBidi"/>
              </w:rPr>
              <w:t xml:space="preserve"> tabeli</w:t>
            </w:r>
            <w:r w:rsidR="11CAA01F" w:rsidRPr="001357DA">
              <w:rPr>
                <w:rFonts w:eastAsia="Aptos" w:cstheme="minorBidi"/>
              </w:rPr>
              <w:t xml:space="preserve"> nr.1</w:t>
            </w:r>
            <w:r w:rsidR="00806C5A" w:rsidRPr="001357DA">
              <w:rPr>
                <w:rFonts w:eastAsia="Aptos" w:cstheme="minorBidi"/>
                <w:kern w:val="2"/>
                <w14:ligatures w14:val="standardContextual"/>
              </w:rPr>
              <w:t>.</w:t>
            </w:r>
            <w:r w:rsidR="00806C5A" w:rsidRPr="0E3C54E5">
              <w:rPr>
                <w:rFonts w:eastAsia="Aptos" w:cstheme="minorBidi"/>
                <w:kern w:val="2"/>
                <w14:ligatures w14:val="standardContextual"/>
              </w:rPr>
              <w:t xml:space="preserve"> Wyniki dla oferowanego modelu dysku muszą być dostępne </w:t>
            </w:r>
            <w:r w:rsidR="00834C0A" w:rsidRPr="0E3C54E5">
              <w:rPr>
                <w:rFonts w:eastAsia="Aptos" w:cstheme="minorBidi"/>
                <w:kern w:val="2"/>
                <w14:ligatures w14:val="standardContextual"/>
              </w:rPr>
              <w:t>w</w:t>
            </w:r>
            <w:r w:rsidR="00806C5A" w:rsidRPr="0E3C54E5">
              <w:rPr>
                <w:rFonts w:eastAsia="Aptos" w:cstheme="minorBidi"/>
                <w:kern w:val="2"/>
                <w14:ligatures w14:val="standardContextual"/>
              </w:rPr>
              <w:t xml:space="preserve"> </w:t>
            </w:r>
            <w:r w:rsidR="00834C0A" w:rsidRPr="0E3C54E5">
              <w:rPr>
                <w:rFonts w:eastAsia="Aptos" w:cstheme="minorBidi"/>
                <w:kern w:val="2"/>
                <w14:ligatures w14:val="standardContextual"/>
              </w:rPr>
              <w:t xml:space="preserve">Broadcom Compatibility Guide – sekcja _vSAN SSD: </w:t>
            </w:r>
            <w:hyperlink r:id="rId13" w:history="1">
              <w:r w:rsidR="00834C0A" w:rsidRPr="0E3C54E5">
                <w:rPr>
                  <w:rStyle w:val="Hipercze"/>
                  <w:rFonts w:eastAsia="Aptos" w:cstheme="minorBidi"/>
                  <w:kern w:val="2"/>
                  <w14:ligatures w14:val="standardContextual"/>
                </w:rPr>
                <w:t>https://compatibilityguide.broadcom.com</w:t>
              </w:r>
            </w:hyperlink>
            <w:r w:rsidR="00834C0A" w:rsidRPr="0E3C54E5">
              <w:rPr>
                <w:rFonts w:eastAsia="Aptos" w:cstheme="minorBidi"/>
                <w:kern w:val="2"/>
                <w14:ligatures w14:val="standardContextual"/>
              </w:rPr>
              <w:t xml:space="preserve">   → kafelek vSAN SSD.</w:t>
            </w:r>
            <w:r w:rsidR="009052D5" w:rsidRPr="0E3C54E5">
              <w:rPr>
                <w:rFonts w:cstheme="minorBidi"/>
              </w:rPr>
              <w:t xml:space="preserve"> </w:t>
            </w:r>
          </w:p>
        </w:tc>
      </w:tr>
      <w:tr w:rsidR="002F004D" w:rsidRPr="003D6738" w14:paraId="73E178C5"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6A31FA0E" w14:textId="0FA086E2" w:rsidR="003636B1" w:rsidRPr="003D6738" w:rsidRDefault="00B76B86" w:rsidP="497B2BD0">
            <w:pPr>
              <w:spacing w:line="256" w:lineRule="auto"/>
              <w:jc w:val="center"/>
              <w:rPr>
                <w:rFonts w:cstheme="minorBidi"/>
              </w:rPr>
            </w:pPr>
            <w:r w:rsidRPr="497B2BD0">
              <w:rPr>
                <w:rFonts w:cstheme="minorBidi"/>
              </w:rPr>
              <w:t>4</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1A52EC1D" w14:textId="77777777" w:rsidR="003636B1" w:rsidRPr="003D6738" w:rsidRDefault="137E9A3B" w:rsidP="497B2BD0">
            <w:pPr>
              <w:spacing w:line="256" w:lineRule="auto"/>
              <w:rPr>
                <w:rFonts w:cstheme="minorBidi"/>
              </w:rPr>
            </w:pPr>
            <w:r w:rsidRPr="497B2BD0">
              <w:rPr>
                <w:rFonts w:cstheme="minorBidi"/>
              </w:rPr>
              <w:t>Kontroler</w:t>
            </w:r>
          </w:p>
        </w:tc>
        <w:tc>
          <w:tcPr>
            <w:tcW w:w="7653" w:type="dxa"/>
            <w:tcBorders>
              <w:top w:val="single" w:sz="4" w:space="0" w:color="auto"/>
              <w:left w:val="single" w:sz="4" w:space="0" w:color="auto"/>
              <w:bottom w:val="single" w:sz="4" w:space="0" w:color="auto"/>
              <w:right w:val="single" w:sz="4" w:space="0" w:color="auto"/>
            </w:tcBorders>
            <w:hideMark/>
          </w:tcPr>
          <w:p w14:paraId="7A38E621" w14:textId="2AA907A4" w:rsidR="00B45D1A" w:rsidRPr="003D6738" w:rsidRDefault="00B76B86" w:rsidP="497B2BD0">
            <w:pPr>
              <w:spacing w:after="0"/>
              <w:contextualSpacing/>
              <w:jc w:val="left"/>
              <w:rPr>
                <w:rFonts w:eastAsia="Aptos" w:cstheme="minorBidi"/>
                <w:kern w:val="2"/>
                <w14:ligatures w14:val="standardContextual"/>
              </w:rPr>
            </w:pPr>
            <w:r w:rsidRPr="497B2BD0">
              <w:rPr>
                <w:rFonts w:cstheme="minorBidi"/>
              </w:rPr>
              <w:t>4</w:t>
            </w:r>
            <w:r w:rsidR="3380DE79" w:rsidRPr="497B2BD0">
              <w:rPr>
                <w:rFonts w:cstheme="minorBidi"/>
              </w:rPr>
              <w:t xml:space="preserve">.1. </w:t>
            </w:r>
            <w:r w:rsidR="00317DF6" w:rsidRPr="497B2BD0">
              <w:rPr>
                <w:rFonts w:cstheme="minorBidi"/>
              </w:rPr>
              <w:t>Serwer musi być wyposażony w kontroler sprzętowy z min. 2 GB cache z mechanizmem podtrzymywania zawartości pamięci cache w razie braku zasilania, zapewniający obsługę dysków boot’ujących</w:t>
            </w:r>
            <w:r w:rsidR="00A505E7" w:rsidRPr="497B2BD0">
              <w:rPr>
                <w:rFonts w:eastAsia="Calibri" w:cstheme="minorBidi"/>
              </w:rPr>
              <w:t>.</w:t>
            </w:r>
          </w:p>
        </w:tc>
      </w:tr>
      <w:tr w:rsidR="002F004D" w:rsidRPr="003D6738" w14:paraId="131B9DD7"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2BE31647" w14:textId="61AEE3B9" w:rsidR="003636B1" w:rsidRPr="003D6738" w:rsidRDefault="00B76B86" w:rsidP="497B2BD0">
            <w:pPr>
              <w:spacing w:line="256" w:lineRule="auto"/>
              <w:jc w:val="center"/>
              <w:rPr>
                <w:rFonts w:cstheme="minorBidi"/>
              </w:rPr>
            </w:pPr>
            <w:bookmarkStart w:id="1" w:name="_Hlk63163824"/>
            <w:r w:rsidRPr="497B2BD0">
              <w:rPr>
                <w:rFonts w:cstheme="minorBidi"/>
              </w:rPr>
              <w:t>5</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41DA6D3F" w14:textId="77777777" w:rsidR="003636B1" w:rsidRPr="003D6738" w:rsidRDefault="137E9A3B" w:rsidP="497B2BD0">
            <w:pPr>
              <w:spacing w:line="256" w:lineRule="auto"/>
              <w:rPr>
                <w:rFonts w:cstheme="minorBidi"/>
              </w:rPr>
            </w:pPr>
            <w:r w:rsidRPr="497B2BD0">
              <w:rPr>
                <w:rFonts w:cstheme="minorBidi"/>
              </w:rPr>
              <w:t>Interfejsy sieciowe Ethernet i FC</w:t>
            </w:r>
          </w:p>
        </w:tc>
        <w:tc>
          <w:tcPr>
            <w:tcW w:w="7653" w:type="dxa"/>
            <w:tcBorders>
              <w:top w:val="single" w:sz="4" w:space="0" w:color="auto"/>
              <w:left w:val="single" w:sz="4" w:space="0" w:color="auto"/>
              <w:bottom w:val="single" w:sz="4" w:space="0" w:color="auto"/>
              <w:right w:val="single" w:sz="4" w:space="0" w:color="auto"/>
            </w:tcBorders>
            <w:hideMark/>
          </w:tcPr>
          <w:p w14:paraId="739DE05A" w14:textId="68D0E58E" w:rsidR="003636B1" w:rsidRPr="003D6738" w:rsidRDefault="00B76B86" w:rsidP="497B2BD0">
            <w:pPr>
              <w:spacing w:after="0"/>
              <w:contextualSpacing/>
              <w:jc w:val="left"/>
              <w:rPr>
                <w:rFonts w:cstheme="minorBidi"/>
              </w:rPr>
            </w:pPr>
            <w:r w:rsidRPr="497B2BD0">
              <w:rPr>
                <w:rFonts w:cstheme="minorBidi"/>
              </w:rPr>
              <w:t>5</w:t>
            </w:r>
            <w:r w:rsidR="2B79161A" w:rsidRPr="497B2BD0">
              <w:rPr>
                <w:rFonts w:cstheme="minorBidi"/>
              </w:rPr>
              <w:t xml:space="preserve">.1. </w:t>
            </w:r>
            <w:r w:rsidR="54BAB6AB" w:rsidRPr="497B2BD0">
              <w:rPr>
                <w:rFonts w:cstheme="minorBidi"/>
              </w:rPr>
              <w:t xml:space="preserve">Minimum </w:t>
            </w:r>
            <w:r w:rsidRPr="497B2BD0">
              <w:rPr>
                <w:rFonts w:cstheme="minorBidi"/>
              </w:rPr>
              <w:t>6</w:t>
            </w:r>
            <w:r w:rsidR="54BAB6AB" w:rsidRPr="497B2BD0">
              <w:rPr>
                <w:rFonts w:cstheme="minorBidi"/>
              </w:rPr>
              <w:t xml:space="preserve"> porty Ethernet SFP28 każdy 10/25 Gb/s</w:t>
            </w:r>
            <w:r w:rsidR="236674F1" w:rsidRPr="497B2BD0">
              <w:rPr>
                <w:rFonts w:cstheme="minorBidi"/>
              </w:rPr>
              <w:t>.</w:t>
            </w:r>
            <w:r w:rsidR="54BAB6AB" w:rsidRPr="497B2BD0">
              <w:rPr>
                <w:rFonts w:cstheme="minorBidi"/>
              </w:rPr>
              <w:t xml:space="preserve"> Wszystkie porty wraz z wkładkami SFP-25G-SR. Karty muszą umożliwiać podział na wirtualne interfejsy za pomocą technologii NPAR.</w:t>
            </w:r>
          </w:p>
          <w:p w14:paraId="0AB4CE11" w14:textId="43A88D06" w:rsidR="003636B1" w:rsidRPr="004A4523" w:rsidRDefault="00B76B86" w:rsidP="497B2BD0">
            <w:pPr>
              <w:spacing w:after="0"/>
              <w:ind w:left="605" w:hanging="605"/>
              <w:contextualSpacing/>
              <w:jc w:val="left"/>
              <w:textAlignment w:val="baseline"/>
              <w:rPr>
                <w:rFonts w:eastAsia="Times New Roman" w:cstheme="minorBidi"/>
                <w:lang w:val="en-US" w:eastAsia="pl-PL"/>
              </w:rPr>
            </w:pPr>
            <w:r w:rsidRPr="004A4523">
              <w:rPr>
                <w:rFonts w:eastAsia="Times New Roman" w:cstheme="minorBidi"/>
                <w:lang w:val="en-US"/>
              </w:rPr>
              <w:t>5</w:t>
            </w:r>
            <w:r w:rsidR="2916A1A2" w:rsidRPr="004A4523">
              <w:rPr>
                <w:rFonts w:eastAsia="Times New Roman" w:cstheme="minorBidi"/>
                <w:lang w:val="en-US"/>
              </w:rPr>
              <w:t xml:space="preserve">.2. </w:t>
            </w:r>
            <w:r w:rsidR="54BAB6AB" w:rsidRPr="004A4523">
              <w:rPr>
                <w:rFonts w:eastAsia="Times New Roman" w:cstheme="minorBidi"/>
                <w:lang w:val="en-US"/>
              </w:rPr>
              <w:t>Minimum 1 port Ethernet 1 Gb/s. </w:t>
            </w:r>
          </w:p>
          <w:p w14:paraId="4812C4FB" w14:textId="1DF97BCB" w:rsidR="003636B1" w:rsidRPr="003D6738" w:rsidRDefault="00B76B86" w:rsidP="497B2BD0">
            <w:pPr>
              <w:spacing w:after="0"/>
              <w:ind w:left="605" w:hanging="605"/>
              <w:contextualSpacing/>
              <w:jc w:val="left"/>
              <w:rPr>
                <w:rFonts w:cstheme="minorBidi"/>
              </w:rPr>
            </w:pPr>
            <w:r w:rsidRPr="497B2BD0">
              <w:rPr>
                <w:rFonts w:cstheme="minorBidi"/>
              </w:rPr>
              <w:t>5</w:t>
            </w:r>
            <w:r w:rsidR="34995B22" w:rsidRPr="497B2BD0">
              <w:rPr>
                <w:rFonts w:cstheme="minorBidi"/>
              </w:rPr>
              <w:t>.</w:t>
            </w:r>
            <w:r w:rsidR="00CA7190" w:rsidRPr="497B2BD0">
              <w:rPr>
                <w:rFonts w:cstheme="minorBidi"/>
              </w:rPr>
              <w:t>3</w:t>
            </w:r>
            <w:r w:rsidR="34995B22" w:rsidRPr="497B2BD0">
              <w:rPr>
                <w:rFonts w:cstheme="minorBidi"/>
              </w:rPr>
              <w:t xml:space="preserve">. </w:t>
            </w:r>
            <w:r w:rsidR="54BAB6AB" w:rsidRPr="497B2BD0">
              <w:rPr>
                <w:rFonts w:cstheme="minorBidi"/>
              </w:rPr>
              <w:t>Wszystkie porty ethernet muszą wspierać protokół LACP.</w:t>
            </w:r>
          </w:p>
        </w:tc>
      </w:tr>
      <w:bookmarkEnd w:id="1"/>
      <w:tr w:rsidR="002F004D" w:rsidRPr="003D6738" w14:paraId="40E647A7"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2582ED9D" w14:textId="6B608485" w:rsidR="003636B1" w:rsidRPr="003D6738" w:rsidRDefault="00B76B86" w:rsidP="497B2BD0">
            <w:pPr>
              <w:jc w:val="center"/>
              <w:rPr>
                <w:rFonts w:cstheme="minorBidi"/>
              </w:rPr>
            </w:pPr>
            <w:r w:rsidRPr="497B2BD0">
              <w:rPr>
                <w:rFonts w:cstheme="minorBidi"/>
              </w:rPr>
              <w:t>6</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2AE275D4" w14:textId="77777777" w:rsidR="003636B1" w:rsidRPr="003D6738" w:rsidRDefault="137E9A3B" w:rsidP="497B2BD0">
            <w:pPr>
              <w:rPr>
                <w:rFonts w:cstheme="minorBidi"/>
              </w:rPr>
            </w:pPr>
            <w:r w:rsidRPr="497B2BD0">
              <w:rPr>
                <w:rFonts w:cstheme="minorBidi"/>
              </w:rPr>
              <w:t>Karta graficzna</w:t>
            </w:r>
          </w:p>
        </w:tc>
        <w:tc>
          <w:tcPr>
            <w:tcW w:w="7653" w:type="dxa"/>
            <w:tcBorders>
              <w:top w:val="single" w:sz="4" w:space="0" w:color="auto"/>
              <w:left w:val="single" w:sz="4" w:space="0" w:color="auto"/>
              <w:bottom w:val="single" w:sz="4" w:space="0" w:color="auto"/>
              <w:right w:val="single" w:sz="4" w:space="0" w:color="auto"/>
            </w:tcBorders>
            <w:hideMark/>
          </w:tcPr>
          <w:p w14:paraId="4CCF1F08" w14:textId="649E65F6" w:rsidR="003636B1" w:rsidRPr="003D6738" w:rsidRDefault="00B76B86" w:rsidP="497B2BD0">
            <w:pPr>
              <w:spacing w:after="0"/>
              <w:ind w:left="605" w:hanging="605"/>
              <w:contextualSpacing/>
              <w:jc w:val="left"/>
              <w:rPr>
                <w:rFonts w:cstheme="minorBidi"/>
              </w:rPr>
            </w:pPr>
            <w:r w:rsidRPr="497B2BD0">
              <w:rPr>
                <w:rFonts w:cstheme="minorBidi"/>
              </w:rPr>
              <w:t>6</w:t>
            </w:r>
            <w:r w:rsidR="60CE6A57" w:rsidRPr="497B2BD0">
              <w:rPr>
                <w:rFonts w:cstheme="minorBidi"/>
              </w:rPr>
              <w:t xml:space="preserve">.1. </w:t>
            </w:r>
            <w:r w:rsidR="54BAB6AB" w:rsidRPr="497B2BD0">
              <w:rPr>
                <w:rFonts w:cstheme="minorBidi"/>
              </w:rPr>
              <w:t>Zintegrowana karta graficzna</w:t>
            </w:r>
          </w:p>
        </w:tc>
      </w:tr>
      <w:tr w:rsidR="002F004D" w:rsidRPr="003D6738" w14:paraId="5895F137"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5D57B206" w14:textId="298D074E" w:rsidR="003636B1" w:rsidRPr="003D6738" w:rsidRDefault="00B76B86" w:rsidP="497B2BD0">
            <w:pPr>
              <w:spacing w:line="256" w:lineRule="auto"/>
              <w:jc w:val="center"/>
              <w:rPr>
                <w:rFonts w:cstheme="minorBidi"/>
              </w:rPr>
            </w:pPr>
            <w:bookmarkStart w:id="2" w:name="_Hlk211589968"/>
            <w:r w:rsidRPr="497B2BD0">
              <w:rPr>
                <w:rFonts w:cstheme="minorBidi"/>
              </w:rPr>
              <w:lastRenderedPageBreak/>
              <w:t>7</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085580A7" w14:textId="77777777" w:rsidR="003636B1" w:rsidRPr="003D6738" w:rsidRDefault="137E9A3B" w:rsidP="497B2BD0">
            <w:pPr>
              <w:spacing w:line="256" w:lineRule="auto"/>
              <w:rPr>
                <w:rFonts w:cstheme="minorBidi"/>
              </w:rPr>
            </w:pPr>
            <w:r w:rsidRPr="497B2BD0">
              <w:rPr>
                <w:rFonts w:cstheme="minorBidi"/>
              </w:rPr>
              <w:t>Porty</w:t>
            </w:r>
          </w:p>
        </w:tc>
        <w:tc>
          <w:tcPr>
            <w:tcW w:w="7653" w:type="dxa"/>
            <w:tcBorders>
              <w:top w:val="single" w:sz="4" w:space="0" w:color="auto"/>
              <w:left w:val="single" w:sz="4" w:space="0" w:color="auto"/>
              <w:bottom w:val="single" w:sz="4" w:space="0" w:color="auto"/>
              <w:right w:val="single" w:sz="4" w:space="0" w:color="auto"/>
            </w:tcBorders>
            <w:hideMark/>
          </w:tcPr>
          <w:p w14:paraId="53352C6E" w14:textId="28FCC92E" w:rsidR="003636B1" w:rsidRPr="003D6738" w:rsidRDefault="30DCF90A" w:rsidP="497B2BD0">
            <w:pPr>
              <w:spacing w:after="0"/>
              <w:contextualSpacing/>
              <w:jc w:val="left"/>
              <w:rPr>
                <w:rFonts w:cstheme="minorBidi"/>
              </w:rPr>
            </w:pPr>
            <w:r w:rsidRPr="497B2BD0">
              <w:rPr>
                <w:rFonts w:cstheme="minorBidi"/>
              </w:rPr>
              <w:t>7</w:t>
            </w:r>
            <w:r w:rsidR="3A90BA92" w:rsidRPr="497B2BD0">
              <w:rPr>
                <w:rFonts w:cstheme="minorBidi"/>
              </w:rPr>
              <w:t xml:space="preserve">.1. </w:t>
            </w:r>
            <w:r w:rsidR="54BAB6AB" w:rsidRPr="497B2BD0">
              <w:rPr>
                <w:rFonts w:cstheme="minorBidi"/>
              </w:rPr>
              <w:t xml:space="preserve">min. </w:t>
            </w:r>
            <w:r w:rsidR="00A67317" w:rsidRPr="497B2BD0">
              <w:rPr>
                <w:rFonts w:cstheme="minorBidi"/>
              </w:rPr>
              <w:t>2</w:t>
            </w:r>
            <w:r w:rsidR="54BAB6AB" w:rsidRPr="497B2BD0">
              <w:rPr>
                <w:rFonts w:cstheme="minorBidi"/>
              </w:rPr>
              <w:t xml:space="preserve"> porty USB 3.0.</w:t>
            </w:r>
          </w:p>
          <w:p w14:paraId="39F666C8" w14:textId="44C86495" w:rsidR="003636B1" w:rsidRPr="003D6738" w:rsidRDefault="7224A149" w:rsidP="497B2BD0">
            <w:pPr>
              <w:spacing w:after="0"/>
              <w:contextualSpacing/>
              <w:jc w:val="left"/>
              <w:rPr>
                <w:rFonts w:cstheme="minorBidi"/>
              </w:rPr>
            </w:pPr>
            <w:r w:rsidRPr="497B2BD0">
              <w:rPr>
                <w:rFonts w:cstheme="minorBidi"/>
              </w:rPr>
              <w:t>7</w:t>
            </w:r>
            <w:r w:rsidR="40ACCAAC" w:rsidRPr="497B2BD0">
              <w:rPr>
                <w:rFonts w:cstheme="minorBidi"/>
              </w:rPr>
              <w:t xml:space="preserve">.2. </w:t>
            </w:r>
            <w:r w:rsidR="54BAB6AB" w:rsidRPr="497B2BD0">
              <w:rPr>
                <w:rFonts w:cstheme="minorBidi"/>
              </w:rPr>
              <w:t>min. 1 port VGA</w:t>
            </w:r>
            <w:r w:rsidR="004F7FB0" w:rsidRPr="497B2BD0">
              <w:rPr>
                <w:rFonts w:cstheme="minorBidi"/>
              </w:rPr>
              <w:t xml:space="preserve"> lub DP lub miniDP </w:t>
            </w:r>
            <w:r w:rsidR="54BAB6AB" w:rsidRPr="497B2BD0">
              <w:rPr>
                <w:rFonts w:cstheme="minorBidi"/>
              </w:rPr>
              <w:t xml:space="preserve"> wyprowadzony na zewnątrz obudowy.</w:t>
            </w:r>
          </w:p>
          <w:p w14:paraId="3CD1D2EF" w14:textId="78B58BA0" w:rsidR="003636B1" w:rsidRPr="003D6738" w:rsidRDefault="04BFE90F" w:rsidP="497B2BD0">
            <w:pPr>
              <w:spacing w:after="0"/>
              <w:contextualSpacing/>
              <w:jc w:val="left"/>
              <w:rPr>
                <w:rFonts w:cstheme="minorBidi"/>
              </w:rPr>
            </w:pPr>
            <w:r w:rsidRPr="497B2BD0">
              <w:rPr>
                <w:rFonts w:cstheme="minorBidi"/>
              </w:rPr>
              <w:t>7</w:t>
            </w:r>
            <w:r w:rsidR="24AE950C" w:rsidRPr="497B2BD0">
              <w:rPr>
                <w:rFonts w:cstheme="minorBidi"/>
              </w:rPr>
              <w:t xml:space="preserve">.3. </w:t>
            </w:r>
            <w:r w:rsidR="54BAB6AB" w:rsidRPr="497B2BD0">
              <w:rPr>
                <w:rFonts w:cstheme="minorBidi"/>
              </w:rPr>
              <w:t>Ilość dostępnych złącz</w:t>
            </w:r>
            <w:r w:rsidR="00D47AE2" w:rsidRPr="497B2BD0">
              <w:rPr>
                <w:rFonts w:cstheme="minorBidi"/>
              </w:rPr>
              <w:t>y</w:t>
            </w:r>
            <w:r w:rsidR="54BAB6AB" w:rsidRPr="497B2BD0">
              <w:rPr>
                <w:rFonts w:cstheme="minorBidi"/>
              </w:rPr>
              <w:t xml:space="preserve"> VGA</w:t>
            </w:r>
            <w:r w:rsidR="004F7FB0" w:rsidRPr="497B2BD0">
              <w:rPr>
                <w:rFonts w:cstheme="minorBidi"/>
              </w:rPr>
              <w:t xml:space="preserve"> lub DP lub miniDP  </w:t>
            </w:r>
            <w:r w:rsidR="54BAB6AB" w:rsidRPr="497B2BD0">
              <w:rPr>
                <w:rFonts w:cstheme="minorBidi"/>
              </w:rPr>
              <w:t>i USB nie może być osiągnięta poprzez stosowanie zewnętrznych przejściówek, rozgałęziaczy czy dodatkowych kart rozszerzeń zajmujących jakikolwiek slot PCI Express serwera.</w:t>
            </w:r>
          </w:p>
        </w:tc>
      </w:tr>
      <w:bookmarkEnd w:id="2"/>
      <w:tr w:rsidR="002F004D" w:rsidRPr="003D6738" w14:paraId="718AC083"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0B53B562" w14:textId="0E427251" w:rsidR="003636B1" w:rsidRPr="003D6738" w:rsidRDefault="00B76B86" w:rsidP="497B2BD0">
            <w:pPr>
              <w:spacing w:line="256" w:lineRule="auto"/>
              <w:jc w:val="center"/>
              <w:rPr>
                <w:rFonts w:cstheme="minorBidi"/>
              </w:rPr>
            </w:pPr>
            <w:r w:rsidRPr="497B2BD0">
              <w:rPr>
                <w:rFonts w:cstheme="minorBidi"/>
              </w:rPr>
              <w:t>8</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25622162" w14:textId="77777777" w:rsidR="003636B1" w:rsidRPr="003D6738" w:rsidRDefault="137E9A3B" w:rsidP="497B2BD0">
            <w:pPr>
              <w:spacing w:line="256" w:lineRule="auto"/>
              <w:rPr>
                <w:rFonts w:cstheme="minorBidi"/>
              </w:rPr>
            </w:pPr>
            <w:r w:rsidRPr="497B2BD0">
              <w:rPr>
                <w:rFonts w:cstheme="minorBidi"/>
              </w:rPr>
              <w:t>Zasilacze</w:t>
            </w:r>
          </w:p>
        </w:tc>
        <w:tc>
          <w:tcPr>
            <w:tcW w:w="7653" w:type="dxa"/>
            <w:tcBorders>
              <w:top w:val="single" w:sz="4" w:space="0" w:color="auto"/>
              <w:left w:val="single" w:sz="4" w:space="0" w:color="auto"/>
              <w:bottom w:val="single" w:sz="4" w:space="0" w:color="auto"/>
              <w:right w:val="single" w:sz="4" w:space="0" w:color="auto"/>
            </w:tcBorders>
            <w:hideMark/>
          </w:tcPr>
          <w:p w14:paraId="40A76998" w14:textId="71AAAB73" w:rsidR="003636B1" w:rsidRPr="003D6738" w:rsidRDefault="00B76B86" w:rsidP="497B2BD0">
            <w:pPr>
              <w:spacing w:after="0"/>
              <w:contextualSpacing/>
              <w:jc w:val="left"/>
              <w:rPr>
                <w:rFonts w:cstheme="minorBidi"/>
              </w:rPr>
            </w:pPr>
            <w:r w:rsidRPr="497B2BD0">
              <w:rPr>
                <w:rFonts w:cstheme="minorBidi"/>
              </w:rPr>
              <w:t>8</w:t>
            </w:r>
            <w:r w:rsidR="095FA42C" w:rsidRPr="497B2BD0">
              <w:rPr>
                <w:rFonts w:cstheme="minorBidi"/>
              </w:rPr>
              <w:t>.1</w:t>
            </w:r>
            <w:bookmarkStart w:id="3" w:name="_Hlk206758042"/>
            <w:r w:rsidR="095FA42C" w:rsidRPr="497B2BD0">
              <w:rPr>
                <w:rFonts w:cstheme="minorBidi"/>
              </w:rPr>
              <w:t xml:space="preserve">. </w:t>
            </w:r>
            <w:bookmarkEnd w:id="3"/>
            <w:r w:rsidR="00317DF6" w:rsidRPr="497B2BD0">
              <w:rPr>
                <w:rFonts w:cstheme="minorBidi"/>
              </w:rPr>
              <w:t>Min. 2 redundantne zasilacze (1+1) typu HotPlug. Moc każdego z zasilaczy musi zapewniać prawidłowe i bezproblemowe funkcjonowanie wszystkich zainstalowanych komponentów wraz z komponentami, które posłużą do potencjalnej rozbudowy opisanej powyżej przestrzeni dyskowej. Zaoferowana moc każdego z zasilaczy nie może być mniejsza niż 1600 W.</w:t>
            </w:r>
          </w:p>
        </w:tc>
      </w:tr>
      <w:tr w:rsidR="002F004D" w:rsidRPr="003D6738" w14:paraId="292C2153" w14:textId="77777777" w:rsidTr="4B81C135">
        <w:trPr>
          <w:trHeight w:val="136"/>
        </w:trPr>
        <w:tc>
          <w:tcPr>
            <w:tcW w:w="659" w:type="dxa"/>
            <w:tcBorders>
              <w:top w:val="single" w:sz="4" w:space="0" w:color="auto"/>
              <w:left w:val="single" w:sz="4" w:space="0" w:color="auto"/>
              <w:bottom w:val="single" w:sz="4" w:space="0" w:color="auto"/>
              <w:right w:val="single" w:sz="4" w:space="0" w:color="auto"/>
            </w:tcBorders>
            <w:hideMark/>
          </w:tcPr>
          <w:p w14:paraId="730848B0" w14:textId="05CC07F8" w:rsidR="003636B1" w:rsidRPr="003D6738" w:rsidRDefault="00B76B86" w:rsidP="497B2BD0">
            <w:pPr>
              <w:jc w:val="center"/>
              <w:rPr>
                <w:rFonts w:cstheme="minorBidi"/>
              </w:rPr>
            </w:pPr>
            <w:r w:rsidRPr="497B2BD0">
              <w:rPr>
                <w:rFonts w:cstheme="minorBidi"/>
              </w:rPr>
              <w:t>9</w:t>
            </w:r>
            <w:r w:rsidR="54BAB6AB"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1FD985BF" w14:textId="77777777" w:rsidR="003636B1" w:rsidRPr="003D6738" w:rsidRDefault="137E9A3B" w:rsidP="497B2BD0">
            <w:pPr>
              <w:rPr>
                <w:rFonts w:cstheme="minorBidi"/>
              </w:rPr>
            </w:pPr>
            <w:r w:rsidRPr="497B2BD0">
              <w:rPr>
                <w:rFonts w:cstheme="minorBidi"/>
              </w:rPr>
              <w:t>Karta/moduł zarządzający</w:t>
            </w:r>
          </w:p>
        </w:tc>
        <w:tc>
          <w:tcPr>
            <w:tcW w:w="7653" w:type="dxa"/>
            <w:tcBorders>
              <w:top w:val="single" w:sz="4" w:space="0" w:color="auto"/>
              <w:left w:val="single" w:sz="4" w:space="0" w:color="auto"/>
              <w:bottom w:val="single" w:sz="4" w:space="0" w:color="auto"/>
              <w:right w:val="single" w:sz="4" w:space="0" w:color="auto"/>
            </w:tcBorders>
            <w:hideMark/>
          </w:tcPr>
          <w:p w14:paraId="76ECA2F6" w14:textId="77777777" w:rsidR="003636B1" w:rsidRPr="003D6738" w:rsidRDefault="137E9A3B" w:rsidP="497B2BD0">
            <w:pPr>
              <w:spacing w:after="0"/>
              <w:contextualSpacing/>
              <w:jc w:val="left"/>
              <w:rPr>
                <w:rFonts w:cstheme="minorBidi"/>
              </w:rPr>
            </w:pPr>
            <w:r w:rsidRPr="497B2BD0">
              <w:rPr>
                <w:rFonts w:cstheme="minorBidi"/>
              </w:rPr>
              <w:t>Karta niezależna od systemu operacyjnego, zintegrowana z płytą główną serwera lub jako dodatkowa karta w slocie PCI Express, jednak nie może ona powodować zmniejszenia minimalnej liczby gniazd PCIe w serwerze, posiadająca minimalną funkcjonalność:</w:t>
            </w:r>
          </w:p>
          <w:p w14:paraId="6F34A882" w14:textId="425B3E6A" w:rsidR="003636B1" w:rsidRPr="003D6738" w:rsidRDefault="00B76B86" w:rsidP="497B2BD0">
            <w:pPr>
              <w:spacing w:after="0"/>
              <w:contextualSpacing/>
              <w:jc w:val="left"/>
              <w:rPr>
                <w:rFonts w:cstheme="minorBidi"/>
              </w:rPr>
            </w:pPr>
            <w:r w:rsidRPr="497B2BD0">
              <w:rPr>
                <w:rFonts w:cstheme="minorBidi"/>
              </w:rPr>
              <w:t>9</w:t>
            </w:r>
            <w:r w:rsidR="68962DE5" w:rsidRPr="497B2BD0">
              <w:rPr>
                <w:rFonts w:cstheme="minorBidi"/>
              </w:rPr>
              <w:t xml:space="preserve">.1. </w:t>
            </w:r>
            <w:r w:rsidR="54BAB6AB" w:rsidRPr="497B2BD0">
              <w:rPr>
                <w:rFonts w:cstheme="minorBidi"/>
              </w:rPr>
              <w:t>monitorowanie podzespołów i stanu serwera: temperatura, stan zasilaczy, prędkość obrotowa wentylatorów, procesory, pamięć RAM, kontrolery macierzowe i dyski (fizyczne i logiczne), karty rozszerzeń;</w:t>
            </w:r>
          </w:p>
          <w:p w14:paraId="523167DB" w14:textId="1AFC9C1C" w:rsidR="003636B1" w:rsidRPr="003D6738" w:rsidRDefault="00B76B86" w:rsidP="497B2BD0">
            <w:pPr>
              <w:spacing w:after="0"/>
              <w:contextualSpacing/>
              <w:jc w:val="left"/>
              <w:rPr>
                <w:rFonts w:cstheme="minorBidi"/>
              </w:rPr>
            </w:pPr>
            <w:r w:rsidRPr="497B2BD0">
              <w:rPr>
                <w:rFonts w:cstheme="minorBidi"/>
              </w:rPr>
              <w:t>9</w:t>
            </w:r>
            <w:r w:rsidR="37279C6D" w:rsidRPr="497B2BD0">
              <w:rPr>
                <w:rFonts w:cstheme="minorBidi"/>
              </w:rPr>
              <w:t xml:space="preserve">.2. </w:t>
            </w:r>
            <w:r w:rsidR="54BAB6AB" w:rsidRPr="497B2BD0">
              <w:rPr>
                <w:rFonts w:cstheme="minorBidi"/>
              </w:rPr>
              <w:t>wparcie dla agentów zarządzających oraz/lub możliwość pracy w trybie bezagentowym – bez agentów zarządzania instalowanych w systemie operacyjnym z generowaniem alertów SNMP;</w:t>
            </w:r>
          </w:p>
          <w:p w14:paraId="5C7C7C79" w14:textId="0CEB34FA" w:rsidR="005E0011" w:rsidRPr="003D6738" w:rsidRDefault="00B76B86" w:rsidP="497B2BD0">
            <w:pPr>
              <w:spacing w:after="0" w:line="256" w:lineRule="auto"/>
              <w:contextualSpacing/>
              <w:rPr>
                <w:rFonts w:cstheme="minorBidi"/>
              </w:rPr>
            </w:pPr>
            <w:r w:rsidRPr="497B2BD0">
              <w:rPr>
                <w:rFonts w:cstheme="minorBidi"/>
              </w:rPr>
              <w:t>9</w:t>
            </w:r>
            <w:r w:rsidR="3B587ED9" w:rsidRPr="497B2BD0">
              <w:rPr>
                <w:rFonts w:cstheme="minorBidi"/>
              </w:rPr>
              <w:t xml:space="preserve">.3. </w:t>
            </w:r>
            <w:r w:rsidR="54BAB6AB" w:rsidRPr="497B2BD0">
              <w:rPr>
                <w:rFonts w:cstheme="minorBidi"/>
              </w:rPr>
              <w:t>dostęp do karty zarządzającej poprzez</w:t>
            </w:r>
            <w:r w:rsidR="362D926A" w:rsidRPr="497B2BD0">
              <w:rPr>
                <w:rFonts w:cstheme="minorBidi"/>
              </w:rPr>
              <w:t xml:space="preserve"> dedykowany port RJ45, dostępny z poziomu obudowy serwera. </w:t>
            </w:r>
          </w:p>
          <w:p w14:paraId="177895EB" w14:textId="7855273D" w:rsidR="003636B1" w:rsidRPr="003D6738" w:rsidRDefault="00B76B86" w:rsidP="497B2BD0">
            <w:pPr>
              <w:spacing w:after="0"/>
              <w:contextualSpacing/>
              <w:jc w:val="left"/>
              <w:rPr>
                <w:rFonts w:cstheme="minorBidi"/>
              </w:rPr>
            </w:pPr>
            <w:r w:rsidRPr="497B2BD0">
              <w:rPr>
                <w:rFonts w:cstheme="minorBidi"/>
              </w:rPr>
              <w:t>9</w:t>
            </w:r>
            <w:r w:rsidR="72096E50" w:rsidRPr="497B2BD0">
              <w:rPr>
                <w:rFonts w:cstheme="minorBidi"/>
              </w:rPr>
              <w:t xml:space="preserve">.4. </w:t>
            </w:r>
            <w:r w:rsidR="54BAB6AB" w:rsidRPr="497B2BD0">
              <w:rPr>
                <w:rFonts w:cstheme="minorBidi"/>
              </w:rPr>
              <w:t>dostęp do karty zarządzającej możliwy</w:t>
            </w:r>
            <w:r w:rsidR="701B7B7A" w:rsidRPr="497B2BD0">
              <w:rPr>
                <w:rFonts w:cstheme="minorBidi"/>
              </w:rPr>
              <w:t xml:space="preserve"> w każdy z niżej wymienionych sposobów</w:t>
            </w:r>
            <w:r w:rsidR="54BAB6AB" w:rsidRPr="497B2BD0">
              <w:rPr>
                <w:rFonts w:cstheme="minorBidi"/>
              </w:rPr>
              <w:t xml:space="preserve">: </w:t>
            </w:r>
          </w:p>
          <w:p w14:paraId="081C13A5" w14:textId="77777777" w:rsidR="003636B1" w:rsidRPr="003D6738" w:rsidRDefault="137E9A3B" w:rsidP="00882AC8">
            <w:pPr>
              <w:numPr>
                <w:ilvl w:val="0"/>
                <w:numId w:val="2"/>
              </w:numPr>
              <w:spacing w:after="0" w:line="256" w:lineRule="auto"/>
              <w:contextualSpacing/>
              <w:jc w:val="left"/>
              <w:rPr>
                <w:rFonts w:cstheme="minorBidi"/>
              </w:rPr>
            </w:pPr>
            <w:r w:rsidRPr="497B2BD0">
              <w:rPr>
                <w:rFonts w:cstheme="minorBidi"/>
              </w:rPr>
              <w:t>z poziomu przeglądarki webowej (GUI), wsparcie dla HTML 5,</w:t>
            </w:r>
          </w:p>
          <w:p w14:paraId="382A480E" w14:textId="77777777" w:rsidR="003636B1" w:rsidRPr="003D6738" w:rsidRDefault="137E9A3B" w:rsidP="00882AC8">
            <w:pPr>
              <w:numPr>
                <w:ilvl w:val="0"/>
                <w:numId w:val="2"/>
              </w:numPr>
              <w:spacing w:after="0" w:line="256" w:lineRule="auto"/>
              <w:contextualSpacing/>
              <w:jc w:val="left"/>
              <w:rPr>
                <w:rFonts w:cstheme="minorBidi"/>
              </w:rPr>
            </w:pPr>
            <w:r w:rsidRPr="497B2BD0">
              <w:rPr>
                <w:rFonts w:cstheme="minorBidi"/>
              </w:rPr>
              <w:t>z poziomu linii komend;</w:t>
            </w:r>
          </w:p>
          <w:p w14:paraId="491B13E2" w14:textId="77777777" w:rsidR="003636B1" w:rsidRPr="004A4523" w:rsidRDefault="137E9A3B" w:rsidP="00882AC8">
            <w:pPr>
              <w:numPr>
                <w:ilvl w:val="0"/>
                <w:numId w:val="2"/>
              </w:numPr>
              <w:spacing w:after="0" w:line="256" w:lineRule="auto"/>
              <w:contextualSpacing/>
              <w:jc w:val="left"/>
              <w:rPr>
                <w:rFonts w:cstheme="minorBidi"/>
                <w:lang w:val="en-US"/>
              </w:rPr>
            </w:pPr>
            <w:r w:rsidRPr="004A4523">
              <w:rPr>
                <w:rFonts w:cstheme="minorBidi"/>
                <w:lang w:val="en-US"/>
              </w:rPr>
              <w:t>przez interfejs IPMI 2.0 (Intelligent Platform Management Interface);</w:t>
            </w:r>
          </w:p>
          <w:p w14:paraId="2ED693ED" w14:textId="75E0C8BB" w:rsidR="003636B1" w:rsidRPr="003D6738" w:rsidRDefault="00B76B86" w:rsidP="497B2BD0">
            <w:pPr>
              <w:spacing w:after="0"/>
              <w:contextualSpacing/>
              <w:jc w:val="left"/>
              <w:rPr>
                <w:rFonts w:cstheme="minorBidi"/>
              </w:rPr>
            </w:pPr>
            <w:r w:rsidRPr="497B2BD0">
              <w:rPr>
                <w:rFonts w:cstheme="minorBidi"/>
              </w:rPr>
              <w:t>9</w:t>
            </w:r>
            <w:r w:rsidR="68C65746" w:rsidRPr="497B2BD0">
              <w:rPr>
                <w:rFonts w:cstheme="minorBidi"/>
              </w:rPr>
              <w:t xml:space="preserve">.5. </w:t>
            </w:r>
            <w:r w:rsidR="54BAB6AB" w:rsidRPr="497B2BD0">
              <w:rPr>
                <w:rFonts w:cstheme="minorBidi"/>
              </w:rPr>
              <w:t>możliwość obsługi karty zarządzającej przez co najmniej dwóch administratorów jednocześnie;</w:t>
            </w:r>
          </w:p>
          <w:p w14:paraId="78F5C83B" w14:textId="2692B905" w:rsidR="003636B1" w:rsidRPr="003D6738" w:rsidRDefault="00B76B86" w:rsidP="497B2BD0">
            <w:pPr>
              <w:spacing w:after="0"/>
              <w:contextualSpacing/>
              <w:jc w:val="left"/>
              <w:rPr>
                <w:rFonts w:cstheme="minorBidi"/>
              </w:rPr>
            </w:pPr>
            <w:r w:rsidRPr="497B2BD0">
              <w:rPr>
                <w:rFonts w:cstheme="minorBidi"/>
              </w:rPr>
              <w:t>9</w:t>
            </w:r>
            <w:r w:rsidR="4B46AF4B" w:rsidRPr="497B2BD0">
              <w:rPr>
                <w:rFonts w:cstheme="minorBidi"/>
              </w:rPr>
              <w:t xml:space="preserve">.6. </w:t>
            </w:r>
            <w:r w:rsidR="54BAB6AB" w:rsidRPr="497B2BD0">
              <w:rPr>
                <w:rFonts w:cstheme="minorBidi"/>
              </w:rPr>
              <w:t>możliwość konfiguracji wysłania powiadomień poprzez wiadomość e-mail do administratora o awariach lub istotnych zdarzeniach systemowych;</w:t>
            </w:r>
          </w:p>
          <w:p w14:paraId="080F772C" w14:textId="2BEE855E" w:rsidR="003636B1" w:rsidRPr="003D6738" w:rsidRDefault="00B76B86" w:rsidP="497B2BD0">
            <w:pPr>
              <w:spacing w:after="0"/>
              <w:contextualSpacing/>
              <w:jc w:val="left"/>
              <w:rPr>
                <w:rFonts w:cstheme="minorBidi"/>
              </w:rPr>
            </w:pPr>
            <w:r w:rsidRPr="497B2BD0">
              <w:rPr>
                <w:rFonts w:cstheme="minorBidi"/>
              </w:rPr>
              <w:t>9</w:t>
            </w:r>
            <w:r w:rsidR="668E49AC" w:rsidRPr="497B2BD0">
              <w:rPr>
                <w:rFonts w:cstheme="minorBidi"/>
              </w:rPr>
              <w:t xml:space="preserve">.7. </w:t>
            </w:r>
            <w:r w:rsidR="54BAB6AB" w:rsidRPr="497B2BD0">
              <w:rPr>
                <w:rFonts w:cstheme="minorBidi"/>
              </w:rPr>
              <w:t>wirtualna zdalna konsola, tekstowa i graficzna, z dostępem do myszy i klawiatury i możliwością podłączenia wirtualnych napędów CD/DVD i USB i wirtualnych folderów;</w:t>
            </w:r>
          </w:p>
          <w:p w14:paraId="545B90A6" w14:textId="01B63885" w:rsidR="003636B1" w:rsidRPr="003D6738" w:rsidRDefault="00B76B86" w:rsidP="497B2BD0">
            <w:pPr>
              <w:spacing w:after="0"/>
              <w:contextualSpacing/>
              <w:jc w:val="left"/>
              <w:rPr>
                <w:rFonts w:cstheme="minorBidi"/>
              </w:rPr>
            </w:pPr>
            <w:r w:rsidRPr="497B2BD0">
              <w:rPr>
                <w:rFonts w:cstheme="minorBidi"/>
              </w:rPr>
              <w:t>9</w:t>
            </w:r>
            <w:r w:rsidR="415CC2DE" w:rsidRPr="497B2BD0">
              <w:rPr>
                <w:rFonts w:cstheme="minorBidi"/>
              </w:rPr>
              <w:t xml:space="preserve">.8. </w:t>
            </w:r>
            <w:r w:rsidR="54BAB6AB" w:rsidRPr="497B2BD0">
              <w:rPr>
                <w:rFonts w:cstheme="minorBidi"/>
              </w:rPr>
              <w:t>możliwość monitorowania zasilania oraz zużycia energii przez serwer w czasie rzeczywistym z możliwością graficznej prezentacji;</w:t>
            </w:r>
          </w:p>
          <w:p w14:paraId="57C91CF3" w14:textId="2ABE49A8" w:rsidR="003636B1" w:rsidRPr="003D6738" w:rsidRDefault="00B76B86" w:rsidP="497B2BD0">
            <w:pPr>
              <w:spacing w:after="0"/>
              <w:contextualSpacing/>
              <w:jc w:val="left"/>
              <w:rPr>
                <w:rFonts w:cstheme="minorBidi"/>
              </w:rPr>
            </w:pPr>
            <w:r w:rsidRPr="497B2BD0">
              <w:rPr>
                <w:rFonts w:cstheme="minorBidi"/>
              </w:rPr>
              <w:t>9</w:t>
            </w:r>
            <w:r w:rsidR="42CDD967" w:rsidRPr="497B2BD0">
              <w:rPr>
                <w:rFonts w:cstheme="minorBidi"/>
              </w:rPr>
              <w:t xml:space="preserve">.9. </w:t>
            </w:r>
            <w:r w:rsidR="54BAB6AB" w:rsidRPr="497B2BD0">
              <w:rPr>
                <w:rFonts w:cstheme="minorBidi"/>
              </w:rPr>
              <w:t>konfiguracja maksymalnego poziomu pobieranej mocy przez serwer (capping);</w:t>
            </w:r>
          </w:p>
          <w:p w14:paraId="59687EA7" w14:textId="7CA181FD" w:rsidR="003636B1" w:rsidRPr="003D6738" w:rsidRDefault="00B76B86" w:rsidP="497B2BD0">
            <w:pPr>
              <w:spacing w:after="0"/>
              <w:contextualSpacing/>
              <w:jc w:val="left"/>
              <w:rPr>
                <w:rFonts w:cstheme="minorBidi"/>
              </w:rPr>
            </w:pPr>
            <w:r w:rsidRPr="497B2BD0">
              <w:rPr>
                <w:rFonts w:cstheme="minorBidi"/>
              </w:rPr>
              <w:t>9</w:t>
            </w:r>
            <w:r w:rsidR="6DAAB289" w:rsidRPr="497B2BD0">
              <w:rPr>
                <w:rFonts w:cstheme="minorBidi"/>
              </w:rPr>
              <w:t xml:space="preserve">.10. </w:t>
            </w:r>
            <w:r w:rsidR="54BAB6AB" w:rsidRPr="497B2BD0">
              <w:rPr>
                <w:rFonts w:cstheme="minorBidi"/>
              </w:rPr>
              <w:t>zdalna aktualizacja oprogramowania (firmware);</w:t>
            </w:r>
          </w:p>
          <w:p w14:paraId="18CFA77C" w14:textId="5028367C" w:rsidR="003636B1" w:rsidRPr="003D6738" w:rsidRDefault="00B76B86" w:rsidP="497B2BD0">
            <w:pPr>
              <w:spacing w:after="0"/>
              <w:contextualSpacing/>
              <w:jc w:val="left"/>
              <w:rPr>
                <w:rFonts w:cstheme="minorBidi"/>
              </w:rPr>
            </w:pPr>
            <w:r w:rsidRPr="497B2BD0">
              <w:rPr>
                <w:rFonts w:cstheme="minorBidi"/>
              </w:rPr>
              <w:t>9</w:t>
            </w:r>
            <w:r w:rsidR="24BD8047" w:rsidRPr="497B2BD0">
              <w:rPr>
                <w:rFonts w:cstheme="minorBidi"/>
              </w:rPr>
              <w:t xml:space="preserve">.11. </w:t>
            </w:r>
            <w:r w:rsidR="54BAB6AB" w:rsidRPr="497B2BD0">
              <w:rPr>
                <w:rFonts w:cstheme="minorBidi"/>
              </w:rPr>
              <w:t>wsparcie dla Microsoft Active Directory;</w:t>
            </w:r>
          </w:p>
          <w:p w14:paraId="7158F937" w14:textId="4DE0D4A6" w:rsidR="003636B1" w:rsidRPr="003D6738" w:rsidRDefault="00B76B86" w:rsidP="497B2BD0">
            <w:pPr>
              <w:spacing w:after="0"/>
              <w:contextualSpacing/>
              <w:jc w:val="left"/>
              <w:rPr>
                <w:rFonts w:cstheme="minorBidi"/>
              </w:rPr>
            </w:pPr>
            <w:r w:rsidRPr="497B2BD0">
              <w:rPr>
                <w:rFonts w:cstheme="minorBidi"/>
              </w:rPr>
              <w:t>9</w:t>
            </w:r>
            <w:r w:rsidR="77012316" w:rsidRPr="497B2BD0">
              <w:rPr>
                <w:rFonts w:cstheme="minorBidi"/>
              </w:rPr>
              <w:t xml:space="preserve">.12. </w:t>
            </w:r>
            <w:r w:rsidR="54BAB6AB" w:rsidRPr="497B2BD0">
              <w:rPr>
                <w:rFonts w:cstheme="minorBidi"/>
              </w:rPr>
              <w:t>wsparcie dla IPv4 oraz iPv6, obsługa SNMP v3 oraz RESTful API;</w:t>
            </w:r>
          </w:p>
          <w:p w14:paraId="7D5DA385" w14:textId="28379088" w:rsidR="003636B1" w:rsidRPr="003D6738" w:rsidRDefault="00B76B86" w:rsidP="497B2BD0">
            <w:pPr>
              <w:spacing w:after="0"/>
              <w:contextualSpacing/>
              <w:jc w:val="left"/>
              <w:rPr>
                <w:rFonts w:cstheme="minorBidi"/>
              </w:rPr>
            </w:pPr>
            <w:r w:rsidRPr="497B2BD0">
              <w:rPr>
                <w:rFonts w:cstheme="minorBidi"/>
              </w:rPr>
              <w:t>9</w:t>
            </w:r>
            <w:r w:rsidR="4A0C9E30" w:rsidRPr="497B2BD0">
              <w:rPr>
                <w:rFonts w:cstheme="minorBidi"/>
              </w:rPr>
              <w:t xml:space="preserve">.13. </w:t>
            </w:r>
            <w:r w:rsidR="54BAB6AB" w:rsidRPr="497B2BD0">
              <w:rPr>
                <w:rFonts w:cstheme="minorBidi"/>
              </w:rPr>
              <w:t>możliwość autokonfiguracji sieci karty zarządzającej (DNS/DHCP).</w:t>
            </w:r>
          </w:p>
          <w:p w14:paraId="17282103" w14:textId="77777777" w:rsidR="00805F50" w:rsidRPr="003D6738" w:rsidRDefault="00805F50" w:rsidP="497B2BD0">
            <w:pPr>
              <w:spacing w:after="0" w:line="256" w:lineRule="auto"/>
              <w:contextualSpacing/>
              <w:rPr>
                <w:rFonts w:cstheme="minorBidi"/>
              </w:rPr>
            </w:pPr>
          </w:p>
          <w:p w14:paraId="79872356" w14:textId="77777777" w:rsidR="00805F50" w:rsidRPr="003D6738" w:rsidRDefault="00805F50" w:rsidP="497B2BD0">
            <w:pPr>
              <w:spacing w:after="0" w:line="256" w:lineRule="auto"/>
              <w:contextualSpacing/>
              <w:rPr>
                <w:rFonts w:cstheme="minorBidi"/>
              </w:rPr>
            </w:pPr>
            <w:r w:rsidRPr="497B2BD0">
              <w:rPr>
                <w:rFonts w:cstheme="minorBidi"/>
              </w:rPr>
              <w:lastRenderedPageBreak/>
              <w:t>Wykonawca jest zobowiązany do dostarczenia oprogramowania – konsoli zarządzającej, wraz z niezbędnymi licencjami.</w:t>
            </w:r>
          </w:p>
          <w:p w14:paraId="5063A3BC" w14:textId="77777777" w:rsidR="00805F50" w:rsidRPr="003D6738" w:rsidRDefault="00805F50" w:rsidP="497B2BD0">
            <w:pPr>
              <w:spacing w:after="0" w:line="256" w:lineRule="auto"/>
              <w:contextualSpacing/>
              <w:rPr>
                <w:rFonts w:cstheme="minorBidi"/>
              </w:rPr>
            </w:pPr>
            <w:r w:rsidRPr="497B2BD0">
              <w:rPr>
                <w:rFonts w:cstheme="minorBidi"/>
              </w:rPr>
              <w:t>Jeżeli licencje te są dystrybuowane w modelu subskrypcyjnym, Wykonawca ma obowiązek zapewnić licencje na cały okres gwarancji na dostarczane serwery.</w:t>
            </w:r>
          </w:p>
          <w:p w14:paraId="198D4921" w14:textId="77777777" w:rsidR="00805F50" w:rsidRPr="003D6738" w:rsidRDefault="00805F50" w:rsidP="497B2BD0">
            <w:pPr>
              <w:spacing w:after="0" w:line="256" w:lineRule="auto"/>
              <w:contextualSpacing/>
              <w:rPr>
                <w:rFonts w:cstheme="minorBidi"/>
              </w:rPr>
            </w:pPr>
            <w:r w:rsidRPr="497B2BD0">
              <w:rPr>
                <w:rFonts w:cstheme="minorBidi"/>
              </w:rPr>
              <w:t>Konsola zarządzająca musi zapewnić zarządzanie dostarczanymi serwerami w trybie bezagentowym.</w:t>
            </w:r>
          </w:p>
          <w:p w14:paraId="5C3B24B1" w14:textId="614A8129" w:rsidR="00805F50" w:rsidRPr="003D6738" w:rsidRDefault="00805F50" w:rsidP="497B2BD0">
            <w:pPr>
              <w:spacing w:after="0" w:line="256" w:lineRule="auto"/>
              <w:contextualSpacing/>
              <w:rPr>
                <w:rFonts w:cstheme="minorBidi"/>
              </w:rPr>
            </w:pPr>
            <w:r w:rsidRPr="497B2BD0">
              <w:rPr>
                <w:rFonts w:cstheme="minorBidi"/>
              </w:rPr>
              <w:t xml:space="preserve">Konsola zarządzająca musi zapewniać możliwość komunikacji i zarządzania </w:t>
            </w:r>
            <w:r w:rsidR="0088643A" w:rsidRPr="497B2BD0">
              <w:rPr>
                <w:rFonts w:cstheme="minorBidi"/>
              </w:rPr>
              <w:t>w ilości równej minimum ilości oferowanych</w:t>
            </w:r>
            <w:r w:rsidRPr="497B2BD0">
              <w:rPr>
                <w:rFonts w:cstheme="minorBidi"/>
              </w:rPr>
              <w:t xml:space="preserve"> serwerów.</w:t>
            </w:r>
          </w:p>
          <w:p w14:paraId="63FB92DC" w14:textId="77777777" w:rsidR="00805F50" w:rsidRPr="003D6738" w:rsidRDefault="00805F50" w:rsidP="497B2BD0">
            <w:pPr>
              <w:spacing w:after="0" w:line="256" w:lineRule="auto"/>
              <w:contextualSpacing/>
              <w:rPr>
                <w:rFonts w:cstheme="minorBidi"/>
              </w:rPr>
            </w:pPr>
            <w:r w:rsidRPr="497B2BD0">
              <w:rPr>
                <w:rFonts w:cstheme="minorBidi"/>
              </w:rPr>
              <w:t>Zakres funkcjonalny konsoli zarządzającej musi być zgodny z możliwościami kart zarządzających znajdujących się w dostarczanych serwerach, w szczególności zapewniać:</w:t>
            </w:r>
          </w:p>
          <w:p w14:paraId="453DE5BA" w14:textId="7C82A227" w:rsidR="00805F50" w:rsidRPr="003D6738" w:rsidRDefault="00805F50" w:rsidP="497B2BD0">
            <w:pPr>
              <w:pStyle w:val="Akapitzlist"/>
              <w:spacing w:after="0" w:line="256" w:lineRule="auto"/>
              <w:contextualSpacing/>
              <w:rPr>
                <w:rFonts w:cstheme="minorBidi"/>
                <w:lang w:val="pl-PL"/>
              </w:rPr>
            </w:pPr>
            <w:r w:rsidRPr="004A4523">
              <w:rPr>
                <w:rFonts w:cstheme="minorBidi"/>
                <w:lang w:val="pl-PL"/>
              </w:rPr>
              <w:t>uruchomienie wirtualnej zdalnej konsoli, tekstowej i graficznej (HTML5), z dostępem do myszy i klawiatury i możliwością podłączenia wirtualnych napędów CD/DVD i USB i wirtualnych folderów;</w:t>
            </w:r>
          </w:p>
          <w:p w14:paraId="72A2E84F" w14:textId="77777777" w:rsidR="00805F50" w:rsidRPr="003D6738" w:rsidRDefault="00805F50" w:rsidP="497B2BD0">
            <w:pPr>
              <w:pStyle w:val="Akapitzlist"/>
              <w:spacing w:after="0" w:line="256" w:lineRule="auto"/>
              <w:contextualSpacing/>
              <w:rPr>
                <w:rFonts w:cstheme="minorBidi"/>
                <w:lang w:val="pl-PL"/>
              </w:rPr>
            </w:pPr>
            <w:r w:rsidRPr="004A4523">
              <w:rPr>
                <w:rFonts w:cstheme="minorBidi"/>
                <w:lang w:val="pl-PL"/>
              </w:rPr>
              <w:t>możliwość monitorowania zasilania oraz zużycia energii przez serwer w czasie rzeczywistym z możliwością graficznej prezentacji;</w:t>
            </w:r>
          </w:p>
          <w:p w14:paraId="165BB24F" w14:textId="75E3FD86" w:rsidR="00044B7D" w:rsidRPr="003D6738" w:rsidRDefault="00044B7D" w:rsidP="497B2BD0">
            <w:pPr>
              <w:pStyle w:val="Akapitzlist"/>
              <w:spacing w:after="0" w:line="256" w:lineRule="auto"/>
              <w:contextualSpacing/>
              <w:rPr>
                <w:rFonts w:cstheme="minorBidi"/>
                <w:lang w:val="pl-PL"/>
              </w:rPr>
            </w:pPr>
            <w:r w:rsidRPr="004A4523">
              <w:rPr>
                <w:rFonts w:cstheme="minorBidi"/>
                <w:lang w:val="pl-PL"/>
              </w:rPr>
              <w:t>możliwość aktualizacji BIOS</w:t>
            </w:r>
            <w:r w:rsidR="00056945" w:rsidRPr="004A4523">
              <w:rPr>
                <w:rFonts w:cstheme="minorBidi"/>
                <w:lang w:val="pl-PL"/>
              </w:rPr>
              <w:t xml:space="preserve"> oraz</w:t>
            </w:r>
            <w:r w:rsidRPr="004A4523">
              <w:rPr>
                <w:rFonts w:cstheme="minorBidi"/>
                <w:lang w:val="pl-PL"/>
              </w:rPr>
              <w:t xml:space="preserve"> firmware wszystkich komponentów składających się na oferowany serwer (pojedynczego serwera lub dowolnie wybranej grupy serwerów);</w:t>
            </w:r>
          </w:p>
          <w:p w14:paraId="6EB7136F" w14:textId="77777777" w:rsidR="00805F50" w:rsidRPr="003D6738" w:rsidRDefault="00805F50" w:rsidP="497B2BD0">
            <w:pPr>
              <w:pStyle w:val="Akapitzlist"/>
              <w:spacing w:after="0" w:line="256" w:lineRule="auto"/>
              <w:contextualSpacing/>
              <w:rPr>
                <w:rFonts w:cstheme="minorBidi"/>
                <w:lang w:val="pl-PL"/>
              </w:rPr>
            </w:pPr>
            <w:r w:rsidRPr="004A4523">
              <w:rPr>
                <w:rFonts w:cstheme="minorBidi"/>
                <w:lang w:val="pl-PL"/>
              </w:rPr>
              <w:t>możliwość konfiguracji poziomu pobieranej mocy przez serwer (capping).</w:t>
            </w:r>
          </w:p>
          <w:p w14:paraId="1EB5D1CB" w14:textId="77777777" w:rsidR="00805F50" w:rsidRPr="003D6738" w:rsidRDefault="00805F50" w:rsidP="497B2BD0">
            <w:pPr>
              <w:spacing w:after="0" w:line="256" w:lineRule="auto"/>
              <w:contextualSpacing/>
              <w:rPr>
                <w:rFonts w:cstheme="minorBidi"/>
              </w:rPr>
            </w:pPr>
            <w:r w:rsidRPr="497B2BD0">
              <w:rPr>
                <w:rFonts w:cstheme="minorBidi"/>
                <w:b/>
                <w:bCs/>
              </w:rPr>
              <w:t>Wykonawca musi również zapewnić minimum dwudniowy instruktaż dla pracowników Zamawiającego w liczbie przynajmniej 5 osób</w:t>
            </w:r>
            <w:r w:rsidRPr="497B2BD0">
              <w:rPr>
                <w:rFonts w:cstheme="minorBidi"/>
              </w:rPr>
              <w:t>. Instruktaż musi uwzględnić przekazanie informacji na temat wszystkich funkcjonalności oferowanych przez konsolę.</w:t>
            </w:r>
          </w:p>
          <w:p w14:paraId="15383A95" w14:textId="789C04F0" w:rsidR="003636B1" w:rsidRPr="003D6738" w:rsidRDefault="00805F50" w:rsidP="497B2BD0">
            <w:pPr>
              <w:spacing w:after="0" w:line="256" w:lineRule="auto"/>
              <w:contextualSpacing/>
              <w:rPr>
                <w:rFonts w:cstheme="minorBidi"/>
              </w:rPr>
            </w:pPr>
            <w:r w:rsidRPr="0E3C54E5">
              <w:rPr>
                <w:rFonts w:cstheme="minorBidi"/>
              </w:rPr>
              <w:t xml:space="preserve"> </w:t>
            </w:r>
            <w:r w:rsidR="000C70C6" w:rsidRPr="0E3C54E5">
              <w:rPr>
                <w:rFonts w:cstheme="minorBidi"/>
              </w:rPr>
              <w:t xml:space="preserve">Zamawiający </w:t>
            </w:r>
            <w:r w:rsidRPr="0E3C54E5">
              <w:rPr>
                <w:rFonts w:cstheme="minorBidi"/>
              </w:rPr>
              <w:t>zapewnia sobie możliwość przeprowadzenia testów funkcjonalnych</w:t>
            </w:r>
            <w:r w:rsidR="00B45D1A" w:rsidRPr="0E3C54E5">
              <w:rPr>
                <w:rFonts w:cstheme="minorBidi"/>
              </w:rPr>
              <w:t xml:space="preserve"> </w:t>
            </w:r>
            <w:r w:rsidRPr="0E3C54E5">
              <w:rPr>
                <w:rFonts w:cstheme="minorBidi"/>
              </w:rPr>
              <w:t>dla konsoli zarządzającej w zakresie opisanych funkcjonalności.</w:t>
            </w:r>
          </w:p>
        </w:tc>
      </w:tr>
      <w:tr w:rsidR="002F004D" w:rsidRPr="00D244D9" w14:paraId="5CCFC84A"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1D0733AA" w14:textId="68D2FB7F" w:rsidR="003636B1" w:rsidRPr="003D6738" w:rsidRDefault="54BAB6AB" w:rsidP="497B2BD0">
            <w:pPr>
              <w:spacing w:line="256" w:lineRule="auto"/>
              <w:jc w:val="center"/>
              <w:rPr>
                <w:rFonts w:cstheme="minorBidi"/>
              </w:rPr>
            </w:pPr>
            <w:r w:rsidRPr="497B2BD0">
              <w:rPr>
                <w:rFonts w:cstheme="minorBidi"/>
              </w:rPr>
              <w:lastRenderedPageBreak/>
              <w:t>1</w:t>
            </w:r>
            <w:r w:rsidR="00B76B86" w:rsidRPr="497B2BD0">
              <w:rPr>
                <w:rFonts w:cstheme="minorBidi"/>
              </w:rPr>
              <w:t>0</w:t>
            </w:r>
            <w:r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3855B150" w14:textId="77777777" w:rsidR="003636B1" w:rsidRPr="003D6738" w:rsidRDefault="137E9A3B" w:rsidP="497B2BD0">
            <w:pPr>
              <w:spacing w:line="256" w:lineRule="auto"/>
              <w:rPr>
                <w:rFonts w:cstheme="minorBidi"/>
              </w:rPr>
            </w:pPr>
            <w:r w:rsidRPr="497B2BD0">
              <w:rPr>
                <w:rFonts w:cstheme="minorBidi"/>
              </w:rPr>
              <w:t>Wsparcie dla systemów operacyjnych</w:t>
            </w:r>
          </w:p>
        </w:tc>
        <w:tc>
          <w:tcPr>
            <w:tcW w:w="7653" w:type="dxa"/>
            <w:tcBorders>
              <w:top w:val="single" w:sz="4" w:space="0" w:color="auto"/>
              <w:left w:val="single" w:sz="4" w:space="0" w:color="auto"/>
              <w:bottom w:val="single" w:sz="4" w:space="0" w:color="auto"/>
              <w:right w:val="single" w:sz="4" w:space="0" w:color="auto"/>
            </w:tcBorders>
            <w:hideMark/>
          </w:tcPr>
          <w:p w14:paraId="05A1BD50" w14:textId="31609746" w:rsidR="00702FB5" w:rsidRPr="003D6738" w:rsidRDefault="6C537EF8" w:rsidP="497B2BD0">
            <w:pPr>
              <w:spacing w:after="0"/>
              <w:contextualSpacing/>
              <w:jc w:val="left"/>
              <w:rPr>
                <w:rFonts w:cstheme="minorBidi"/>
              </w:rPr>
            </w:pPr>
            <w:r w:rsidRPr="497B2BD0">
              <w:rPr>
                <w:rFonts w:cstheme="minorBidi"/>
              </w:rPr>
              <w:t>1</w:t>
            </w:r>
            <w:r w:rsidR="00B76B86" w:rsidRPr="497B2BD0">
              <w:rPr>
                <w:rFonts w:cstheme="minorBidi"/>
              </w:rPr>
              <w:t>0</w:t>
            </w:r>
            <w:r w:rsidRPr="497B2BD0">
              <w:rPr>
                <w:rFonts w:cstheme="minorBidi"/>
              </w:rPr>
              <w:t xml:space="preserve">.1. </w:t>
            </w:r>
            <w:r w:rsidR="54BAB6AB" w:rsidRPr="497B2BD0">
              <w:rPr>
                <w:rFonts w:cstheme="minorBidi"/>
              </w:rPr>
              <w:t>V</w:t>
            </w:r>
            <w:r w:rsidR="69D5EFCA" w:rsidRPr="497B2BD0">
              <w:rPr>
                <w:rFonts w:cstheme="minorBidi"/>
              </w:rPr>
              <w:t>M</w:t>
            </w:r>
            <w:r w:rsidR="54BAB6AB" w:rsidRPr="497B2BD0">
              <w:rPr>
                <w:rFonts w:cstheme="minorBidi"/>
              </w:rPr>
              <w:t xml:space="preserve">ware vSphere </w:t>
            </w:r>
            <w:r w:rsidR="005026D6" w:rsidRPr="497B2BD0">
              <w:rPr>
                <w:rFonts w:cstheme="minorBidi"/>
              </w:rPr>
              <w:t>9</w:t>
            </w:r>
            <w:r w:rsidR="03DBEB27" w:rsidRPr="497B2BD0">
              <w:rPr>
                <w:rFonts w:cstheme="minorBidi"/>
              </w:rPr>
              <w:t>.</w:t>
            </w:r>
            <w:r w:rsidR="00B026A7" w:rsidRPr="497B2BD0">
              <w:rPr>
                <w:rFonts w:cstheme="minorBidi"/>
              </w:rPr>
              <w:t>0</w:t>
            </w:r>
            <w:r w:rsidR="54BAB6AB" w:rsidRPr="497B2BD0">
              <w:rPr>
                <w:rFonts w:cstheme="minorBidi"/>
              </w:rPr>
              <w:t xml:space="preserve"> i wyższe</w:t>
            </w:r>
            <w:r w:rsidR="00086970" w:rsidRPr="497B2BD0">
              <w:rPr>
                <w:rFonts w:cstheme="minorBidi"/>
              </w:rPr>
              <w:t xml:space="preserve">. </w:t>
            </w:r>
            <w:r w:rsidR="008550F7" w:rsidRPr="497B2BD0">
              <w:rPr>
                <w:rFonts w:cstheme="minorBidi"/>
              </w:rPr>
              <w:t>Model</w:t>
            </w:r>
            <w:r w:rsidR="4D9719C5" w:rsidRPr="497B2BD0">
              <w:rPr>
                <w:rFonts w:cstheme="minorBidi"/>
              </w:rPr>
              <w:t xml:space="preserve"> serwera musi być wspierana przez VMware</w:t>
            </w:r>
            <w:r w:rsidR="00086970" w:rsidRPr="497B2BD0">
              <w:rPr>
                <w:rFonts w:cstheme="minorBidi"/>
              </w:rPr>
              <w:t xml:space="preserve"> </w:t>
            </w:r>
            <w:r w:rsidR="4D9719C5" w:rsidRPr="497B2BD0">
              <w:rPr>
                <w:rFonts w:cstheme="minorBidi"/>
              </w:rPr>
              <w:t>i certyfikowana dla oprogramowania vSAN zgodnie z matrycą umieszczoną</w:t>
            </w:r>
            <w:r w:rsidR="00086970" w:rsidRPr="497B2BD0">
              <w:rPr>
                <w:rFonts w:cstheme="minorBidi"/>
              </w:rPr>
              <w:t xml:space="preserve"> </w:t>
            </w:r>
            <w:r w:rsidR="4D9719C5" w:rsidRPr="497B2BD0">
              <w:rPr>
                <w:rFonts w:cstheme="minorBidi"/>
              </w:rPr>
              <w:t>na stronie producenta:</w:t>
            </w:r>
            <w:r w:rsidR="00086970" w:rsidRPr="497B2BD0">
              <w:rPr>
                <w:rFonts w:cstheme="minorBidi"/>
              </w:rPr>
              <w:t xml:space="preserve"> </w:t>
            </w:r>
            <w:hyperlink r:id="rId14">
              <w:r w:rsidR="008550F7" w:rsidRPr="497B2BD0">
                <w:rPr>
                  <w:rStyle w:val="Hipercze"/>
                  <w:rFonts w:cstheme="minorBidi"/>
                </w:rPr>
                <w:t>https://compatibilityguide.broadcom.com/search?program=server&amp;persona=live&amp;column=partnerName&amp;order=asc</w:t>
              </w:r>
            </w:hyperlink>
            <w:r w:rsidR="008550F7" w:rsidRPr="497B2BD0">
              <w:rPr>
                <w:rFonts w:cstheme="minorBidi"/>
              </w:rPr>
              <w:t xml:space="preserve"> .</w:t>
            </w:r>
          </w:p>
          <w:p w14:paraId="2F393A40" w14:textId="6C135CE9" w:rsidR="003636B1" w:rsidRPr="004A4523" w:rsidRDefault="2563A070" w:rsidP="497B2BD0">
            <w:pPr>
              <w:pStyle w:val="Akapitzlist"/>
              <w:numPr>
                <w:ilvl w:val="0"/>
                <w:numId w:val="0"/>
              </w:numPr>
              <w:spacing w:after="0"/>
              <w:ind w:left="605" w:hanging="605"/>
              <w:contextualSpacing/>
              <w:rPr>
                <w:rFonts w:cstheme="minorBidi"/>
              </w:rPr>
            </w:pPr>
            <w:r w:rsidRPr="497B2BD0">
              <w:rPr>
                <w:rFonts w:cstheme="minorBidi"/>
              </w:rPr>
              <w:t>1</w:t>
            </w:r>
            <w:r w:rsidR="00B76B86" w:rsidRPr="497B2BD0">
              <w:rPr>
                <w:rFonts w:cstheme="minorBidi"/>
              </w:rPr>
              <w:t>0</w:t>
            </w:r>
            <w:r w:rsidRPr="497B2BD0">
              <w:rPr>
                <w:rFonts w:cstheme="minorBidi"/>
              </w:rPr>
              <w:t xml:space="preserve">.2. </w:t>
            </w:r>
            <w:r w:rsidR="54BAB6AB" w:rsidRPr="497B2BD0">
              <w:rPr>
                <w:rFonts w:cstheme="minorBidi"/>
              </w:rPr>
              <w:t>Microsoft Windows Server</w:t>
            </w:r>
            <w:r w:rsidR="69D5EFCA" w:rsidRPr="497B2BD0">
              <w:rPr>
                <w:rFonts w:cstheme="minorBidi"/>
              </w:rPr>
              <w:t xml:space="preserve"> </w:t>
            </w:r>
            <w:r w:rsidR="03DBEB27" w:rsidRPr="497B2BD0">
              <w:rPr>
                <w:rFonts w:cstheme="minorBidi"/>
              </w:rPr>
              <w:t>20</w:t>
            </w:r>
            <w:r w:rsidR="00E65CB0" w:rsidRPr="497B2BD0">
              <w:rPr>
                <w:rFonts w:cstheme="minorBidi"/>
              </w:rPr>
              <w:t>22</w:t>
            </w:r>
            <w:r w:rsidR="69D5EFCA" w:rsidRPr="497B2BD0">
              <w:rPr>
                <w:rFonts w:cstheme="minorBidi"/>
              </w:rPr>
              <w:t xml:space="preserve"> </w:t>
            </w:r>
            <w:r w:rsidR="03DBEB27" w:rsidRPr="497B2BD0">
              <w:rPr>
                <w:rFonts w:cstheme="minorBidi"/>
              </w:rPr>
              <w:t>i</w:t>
            </w:r>
            <w:r w:rsidR="69D5EFCA" w:rsidRPr="497B2BD0">
              <w:rPr>
                <w:rFonts w:cstheme="minorBidi"/>
              </w:rPr>
              <w:t xml:space="preserve"> wyższe</w:t>
            </w:r>
            <w:r w:rsidR="54BAB6AB" w:rsidRPr="497B2BD0">
              <w:rPr>
                <w:rFonts w:cstheme="minorBidi"/>
              </w:rPr>
              <w:t>.</w:t>
            </w:r>
          </w:p>
          <w:p w14:paraId="417C68DD" w14:textId="1EA3A5D6" w:rsidR="003636B1" w:rsidRPr="004A4523" w:rsidRDefault="44425AB6" w:rsidP="497B2BD0">
            <w:pPr>
              <w:pStyle w:val="Akapitzlist"/>
              <w:numPr>
                <w:ilvl w:val="0"/>
                <w:numId w:val="0"/>
              </w:numPr>
              <w:spacing w:after="0"/>
              <w:ind w:left="605" w:hanging="605"/>
              <w:contextualSpacing/>
              <w:rPr>
                <w:rFonts w:cstheme="minorBidi"/>
              </w:rPr>
            </w:pPr>
            <w:r w:rsidRPr="0E3C54E5">
              <w:rPr>
                <w:rFonts w:cstheme="minorBidi"/>
              </w:rPr>
              <w:t>1</w:t>
            </w:r>
            <w:r w:rsidR="00B76B86" w:rsidRPr="0E3C54E5">
              <w:rPr>
                <w:rFonts w:cstheme="minorBidi"/>
              </w:rPr>
              <w:t>0</w:t>
            </w:r>
            <w:r w:rsidRPr="0E3C54E5">
              <w:rPr>
                <w:rFonts w:cstheme="minorBidi"/>
              </w:rPr>
              <w:t xml:space="preserve">.3. </w:t>
            </w:r>
            <w:r w:rsidR="54BAB6AB" w:rsidRPr="0E3C54E5">
              <w:rPr>
                <w:rFonts w:cstheme="minorBidi"/>
              </w:rPr>
              <w:t>Red Hat Enterprise Linux (RHEL)</w:t>
            </w:r>
            <w:r w:rsidR="03DBEB27" w:rsidRPr="0E3C54E5">
              <w:rPr>
                <w:rFonts w:cstheme="minorBidi"/>
              </w:rPr>
              <w:t xml:space="preserve"> </w:t>
            </w:r>
            <w:r w:rsidR="00870B4C" w:rsidRPr="0E3C54E5">
              <w:rPr>
                <w:rFonts w:cstheme="minorBidi"/>
              </w:rPr>
              <w:t>9</w:t>
            </w:r>
            <w:r w:rsidR="03DBEB27" w:rsidRPr="0E3C54E5">
              <w:rPr>
                <w:rFonts w:cstheme="minorBidi"/>
              </w:rPr>
              <w:t xml:space="preserve"> </w:t>
            </w:r>
            <w:r w:rsidR="48460884" w:rsidRPr="0E3C54E5">
              <w:rPr>
                <w:rFonts w:cstheme="minorBidi"/>
              </w:rPr>
              <w:t>i</w:t>
            </w:r>
            <w:r w:rsidR="03DBEB27" w:rsidRPr="0E3C54E5">
              <w:rPr>
                <w:rFonts w:cstheme="minorBidi"/>
              </w:rPr>
              <w:t xml:space="preserve"> wyższe</w:t>
            </w:r>
            <w:r w:rsidR="54BAB6AB" w:rsidRPr="0E3C54E5">
              <w:rPr>
                <w:rFonts w:cstheme="minorBidi"/>
              </w:rPr>
              <w:t>.</w:t>
            </w:r>
          </w:p>
        </w:tc>
      </w:tr>
      <w:tr w:rsidR="002F004D" w:rsidRPr="003D6738" w14:paraId="62B8BC0B" w14:textId="77777777" w:rsidTr="4B81C135">
        <w:tc>
          <w:tcPr>
            <w:tcW w:w="659" w:type="dxa"/>
            <w:tcBorders>
              <w:top w:val="single" w:sz="4" w:space="0" w:color="auto"/>
              <w:left w:val="single" w:sz="4" w:space="0" w:color="auto"/>
              <w:bottom w:val="single" w:sz="4" w:space="0" w:color="auto"/>
              <w:right w:val="single" w:sz="4" w:space="0" w:color="auto"/>
            </w:tcBorders>
          </w:tcPr>
          <w:p w14:paraId="2A43AF34" w14:textId="1A84374B" w:rsidR="003636B1" w:rsidRPr="003D6738" w:rsidRDefault="54BAB6AB" w:rsidP="497B2BD0">
            <w:pPr>
              <w:jc w:val="center"/>
              <w:rPr>
                <w:rFonts w:eastAsia="Times New Roman" w:cstheme="minorBidi"/>
                <w:lang w:eastAsia="pl-PL"/>
              </w:rPr>
            </w:pPr>
            <w:r w:rsidRPr="497B2BD0">
              <w:rPr>
                <w:rFonts w:eastAsia="Times New Roman" w:cstheme="minorBidi"/>
              </w:rPr>
              <w:t>1</w:t>
            </w:r>
            <w:r w:rsidR="00A03E55" w:rsidRPr="497B2BD0">
              <w:rPr>
                <w:rFonts w:eastAsia="Times New Roman" w:cstheme="minorBidi"/>
              </w:rPr>
              <w:t>1</w:t>
            </w:r>
            <w:r w:rsidRPr="497B2BD0">
              <w:rPr>
                <w:rFonts w:eastAsia="Times New Roman" w:cstheme="minorBidi"/>
              </w:rPr>
              <w:t>.</w:t>
            </w:r>
          </w:p>
        </w:tc>
        <w:tc>
          <w:tcPr>
            <w:tcW w:w="1603" w:type="dxa"/>
            <w:tcBorders>
              <w:top w:val="single" w:sz="4" w:space="0" w:color="auto"/>
              <w:left w:val="single" w:sz="4" w:space="0" w:color="auto"/>
              <w:bottom w:val="single" w:sz="4" w:space="0" w:color="auto"/>
              <w:right w:val="single" w:sz="4" w:space="0" w:color="auto"/>
            </w:tcBorders>
          </w:tcPr>
          <w:p w14:paraId="01A51C16" w14:textId="46DAE707" w:rsidR="003636B1" w:rsidRPr="003D6738" w:rsidRDefault="137E9A3B" w:rsidP="497B2BD0">
            <w:pPr>
              <w:rPr>
                <w:rFonts w:eastAsia="Times New Roman" w:cstheme="minorBidi"/>
                <w:lang w:eastAsia="pl-PL"/>
              </w:rPr>
            </w:pPr>
            <w:r w:rsidRPr="497B2BD0">
              <w:rPr>
                <w:rFonts w:eastAsia="Times New Roman" w:cstheme="minorBidi"/>
              </w:rPr>
              <w:t>Ekologia</w:t>
            </w:r>
            <w:r w:rsidR="00C670F9" w:rsidRPr="497B2BD0">
              <w:rPr>
                <w:rFonts w:eastAsia="Times New Roman" w:cstheme="minorBidi"/>
              </w:rPr>
              <w:t xml:space="preserve"> i </w:t>
            </w:r>
            <w:r w:rsidR="00C670F9" w:rsidRPr="497B2BD0">
              <w:rPr>
                <w:rFonts w:eastAsia="Times New Roman" w:cstheme="minorBidi"/>
                <w:b/>
                <w:bCs/>
                <w:kern w:val="32"/>
                <w:lang w:eastAsia="pl-PL"/>
              </w:rPr>
              <w:t>przedmiotowe środki dowodowe – składane wraz z ofertą</w:t>
            </w:r>
          </w:p>
        </w:tc>
        <w:tc>
          <w:tcPr>
            <w:tcW w:w="7653" w:type="dxa"/>
            <w:tcBorders>
              <w:top w:val="single" w:sz="4" w:space="0" w:color="auto"/>
              <w:left w:val="single" w:sz="4" w:space="0" w:color="auto"/>
              <w:bottom w:val="single" w:sz="4" w:space="0" w:color="auto"/>
              <w:right w:val="single" w:sz="4" w:space="0" w:color="auto"/>
            </w:tcBorders>
          </w:tcPr>
          <w:p w14:paraId="2CEB12CB" w14:textId="653D68CC" w:rsidR="00317DF6" w:rsidRPr="001357DA" w:rsidRDefault="00317DF6" w:rsidP="001357DA">
            <w:pPr>
              <w:numPr>
                <w:ilvl w:val="0"/>
                <w:numId w:val="4"/>
              </w:numPr>
              <w:tabs>
                <w:tab w:val="left" w:pos="426"/>
              </w:tabs>
              <w:spacing w:before="120" w:after="0" w:line="276" w:lineRule="auto"/>
              <w:rPr>
                <w:rFonts w:eastAsia="Calibri" w:cstheme="minorBidi"/>
              </w:rPr>
            </w:pPr>
            <w:r w:rsidRPr="001357DA">
              <w:rPr>
                <w:rFonts w:eastAsia="Calibri" w:cstheme="minorBidi"/>
              </w:rPr>
              <w:t>W celu potwierdzenia zgodności oferowanych dostaw z wymaganymi cechami lub kryteriami, Zamawiający żąda wskazania w ofercie metody korekcji błędów pamięci RAM w oferowany</w:t>
            </w:r>
            <w:r w:rsidR="001357DA">
              <w:rPr>
                <w:rFonts w:eastAsia="Calibri" w:cstheme="minorBidi"/>
              </w:rPr>
              <w:t>ch</w:t>
            </w:r>
            <w:r w:rsidRPr="001357DA">
              <w:rPr>
                <w:rFonts w:eastAsia="Calibri" w:cstheme="minorBidi"/>
              </w:rPr>
              <w:t xml:space="preserve"> serwer</w:t>
            </w:r>
            <w:r w:rsidR="001357DA">
              <w:rPr>
                <w:rFonts w:eastAsia="Calibri" w:cstheme="minorBidi"/>
              </w:rPr>
              <w:t>ach</w:t>
            </w:r>
            <w:r w:rsidRPr="001357DA">
              <w:rPr>
                <w:rFonts w:eastAsia="Calibri" w:cstheme="minorBidi"/>
              </w:rPr>
              <w:t>.</w:t>
            </w:r>
          </w:p>
          <w:p w14:paraId="7C0DA260" w14:textId="7704C076" w:rsidR="001357DA" w:rsidRPr="001357DA" w:rsidRDefault="001357DA" w:rsidP="001357DA">
            <w:pPr>
              <w:numPr>
                <w:ilvl w:val="0"/>
                <w:numId w:val="4"/>
              </w:numPr>
              <w:tabs>
                <w:tab w:val="left" w:pos="426"/>
              </w:tabs>
              <w:spacing w:before="120" w:after="0" w:line="276" w:lineRule="auto"/>
              <w:rPr>
                <w:rFonts w:eastAsia="Calibri" w:cstheme="minorBidi"/>
              </w:rPr>
            </w:pPr>
            <w:r>
              <w:rPr>
                <w:rFonts w:eastAsia="Calibri" w:cstheme="minorBidi"/>
              </w:rPr>
              <w:t xml:space="preserve">Na etapie postępowania zakupowego Zamawiający będzie żądał podania </w:t>
            </w:r>
            <w:r w:rsidRPr="001357DA">
              <w:rPr>
                <w:rFonts w:eastAsia="Calibri" w:cstheme="minorBidi"/>
              </w:rPr>
              <w:t xml:space="preserve">unikatowych numerów nadanych wybranym przez Zamawiającego </w:t>
            </w:r>
            <w:r w:rsidRPr="001357DA">
              <w:rPr>
                <w:rFonts w:eastAsia="Calibri" w:cstheme="minorBidi"/>
              </w:rPr>
              <w:lastRenderedPageBreak/>
              <w:t>komponentom oferowanych serwerów (np. Stock Keeping Unit, part number),</w:t>
            </w:r>
          </w:p>
          <w:p w14:paraId="513CB62F" w14:textId="321B3057" w:rsidR="00317DF6" w:rsidRPr="003D6738" w:rsidRDefault="00317DF6" w:rsidP="00882AC8">
            <w:pPr>
              <w:numPr>
                <w:ilvl w:val="0"/>
                <w:numId w:val="3"/>
              </w:numPr>
              <w:spacing w:after="0" w:line="276" w:lineRule="auto"/>
              <w:ind w:left="426" w:hanging="426"/>
              <w:rPr>
                <w:rFonts w:eastAsia="Calibri" w:cstheme="minorBidi"/>
              </w:rPr>
            </w:pPr>
            <w:r w:rsidRPr="497B2BD0">
              <w:rPr>
                <w:rFonts w:eastAsia="Calibri" w:cstheme="minorBidi"/>
              </w:rPr>
              <w:t>Brak lub błędne wskazanie ww. numerów komponentów oraz metody korekcji błędów nie podlegają uzupełnieniu i powodują odrzucenie oferty.</w:t>
            </w:r>
          </w:p>
          <w:p w14:paraId="21260B02" w14:textId="054BD7E8" w:rsidR="00317DF6" w:rsidRPr="003D6738" w:rsidRDefault="00317DF6" w:rsidP="00882AC8">
            <w:pPr>
              <w:numPr>
                <w:ilvl w:val="0"/>
                <w:numId w:val="3"/>
              </w:numPr>
              <w:spacing w:after="0" w:line="276" w:lineRule="auto"/>
              <w:ind w:left="426" w:hanging="426"/>
              <w:rPr>
                <w:rFonts w:eastAsia="Calibri" w:cstheme="minorBidi"/>
              </w:rPr>
            </w:pPr>
            <w:r w:rsidRPr="497B2BD0">
              <w:rPr>
                <w:rFonts w:eastAsia="Calibri" w:cstheme="minorBidi"/>
              </w:rPr>
              <w:t>Zamówienie współfinansowane ze środków UE musi spełniać zasadę DNSH (art. 17 rozporządzenia (UE) 2020/852), wymogi ekoprojektu dla serwerów i urządzeń do przechowywania danych (rozporządzenie Komisji (UE) 2019/424), ograniczenia substancji niebezpiecznych (Dyrektywa 2011/65/UE — RoHS), REACH (WE 1907/2006) oraz WEEE (2012/19/UE).</w:t>
            </w:r>
          </w:p>
          <w:p w14:paraId="4B810EB6" w14:textId="32907581" w:rsidR="00317DF6" w:rsidRPr="003D6738" w:rsidRDefault="00317DF6" w:rsidP="497B2BD0">
            <w:pPr>
              <w:spacing w:after="0" w:line="276" w:lineRule="auto"/>
              <w:jc w:val="left"/>
              <w:rPr>
                <w:rFonts w:eastAsia="Calibri" w:cstheme="minorBidi"/>
              </w:rPr>
            </w:pPr>
            <w:r w:rsidRPr="497B2BD0">
              <w:rPr>
                <w:rFonts w:eastAsia="Calibri" w:cstheme="minorBidi"/>
              </w:rPr>
              <w:t xml:space="preserve">Każdy oferowany model/konfiguracja (SKU) serwera musi posiadać aktywny wpis w publicznym rejestrze </w:t>
            </w:r>
            <w:r w:rsidR="00040BC2" w:rsidRPr="497B2BD0">
              <w:rPr>
                <w:rFonts w:eastAsia="Calibri" w:cstheme="minorBidi"/>
              </w:rPr>
              <w:t>epeat.net</w:t>
            </w:r>
            <w:r w:rsidRPr="497B2BD0">
              <w:rPr>
                <w:rFonts w:eastAsia="Calibri" w:cstheme="minorBidi"/>
              </w:rPr>
              <w:t xml:space="preserve"> na poziomie co najmniej Silver.</w:t>
            </w:r>
          </w:p>
          <w:p w14:paraId="311E44CB" w14:textId="3F8ADB2A" w:rsidR="00317DF6" w:rsidRPr="003D6738" w:rsidRDefault="00317DF6" w:rsidP="4B81C135">
            <w:pPr>
              <w:spacing w:after="0" w:line="276" w:lineRule="auto"/>
              <w:ind w:left="360"/>
              <w:rPr>
                <w:rFonts w:eastAsia="Calibri" w:cstheme="minorBidi"/>
              </w:rPr>
            </w:pPr>
            <w:r w:rsidRPr="4B81C135">
              <w:rPr>
                <w:rFonts w:eastAsia="Calibri" w:cstheme="minorBidi"/>
              </w:rPr>
              <w:t xml:space="preserve">Środek dowodowy: link/ID wpisu w rejestrze </w:t>
            </w:r>
            <w:r w:rsidR="00040BC2" w:rsidRPr="4B81C135">
              <w:rPr>
                <w:rFonts w:eastAsia="Calibri" w:cstheme="minorBidi"/>
              </w:rPr>
              <w:t>epeat.net</w:t>
            </w:r>
            <w:r w:rsidRPr="4B81C135">
              <w:rPr>
                <w:rFonts w:eastAsia="Calibri" w:cstheme="minorBidi"/>
              </w:rPr>
              <w:t xml:space="preserve"> wskazujący dokładnie oferowany model/SKU (nazwa handlowa lub numer części) – </w:t>
            </w:r>
            <w:r w:rsidRPr="001357DA">
              <w:rPr>
                <w:rFonts w:eastAsia="Calibri" w:cstheme="minorBidi"/>
              </w:rPr>
              <w:t xml:space="preserve">pkt. </w:t>
            </w:r>
            <w:r w:rsidR="1F5760EA" w:rsidRPr="001357DA">
              <w:rPr>
                <w:rFonts w:eastAsia="Calibri" w:cstheme="minorBidi"/>
              </w:rPr>
              <w:t>4</w:t>
            </w:r>
            <w:r w:rsidRPr="001357DA">
              <w:rPr>
                <w:rFonts w:eastAsia="Calibri" w:cstheme="minorBidi"/>
              </w:rPr>
              <w:t xml:space="preserve">  Formularz</w:t>
            </w:r>
            <w:r w:rsidR="001357DA">
              <w:rPr>
                <w:rFonts w:eastAsia="Calibri" w:cstheme="minorBidi"/>
              </w:rPr>
              <w:t>a</w:t>
            </w:r>
            <w:r w:rsidRPr="001357DA">
              <w:rPr>
                <w:rFonts w:eastAsia="Calibri" w:cstheme="minorBidi"/>
              </w:rPr>
              <w:t xml:space="preserve"> ofert</w:t>
            </w:r>
            <w:r w:rsidR="001357DA">
              <w:rPr>
                <w:rFonts w:eastAsia="Calibri" w:cstheme="minorBidi"/>
              </w:rPr>
              <w:t>owego</w:t>
            </w:r>
          </w:p>
          <w:p w14:paraId="7141F011" w14:textId="6F1938AA" w:rsidR="00317DF6" w:rsidRPr="003D6738" w:rsidRDefault="00317DF6" w:rsidP="497B2BD0">
            <w:pPr>
              <w:spacing w:after="0" w:line="276" w:lineRule="auto"/>
              <w:ind w:left="360"/>
              <w:rPr>
                <w:rFonts w:eastAsia="Calibri" w:cstheme="minorBidi"/>
              </w:rPr>
            </w:pPr>
            <w:r w:rsidRPr="497B2BD0">
              <w:rPr>
                <w:rFonts w:eastAsia="Calibri" w:cstheme="minorBidi"/>
              </w:rPr>
              <w:t xml:space="preserve">Zamawiający dopuszcza złożenie równoważnych </w:t>
            </w:r>
            <w:r w:rsidR="00040BC2" w:rsidRPr="497B2BD0">
              <w:rPr>
                <w:rFonts w:eastAsia="Calibri" w:cstheme="minorBidi"/>
              </w:rPr>
              <w:t xml:space="preserve">przedmiotowych </w:t>
            </w:r>
            <w:r w:rsidRPr="497B2BD0">
              <w:rPr>
                <w:rFonts w:eastAsia="Calibri" w:cstheme="minorBidi"/>
              </w:rPr>
              <w:t xml:space="preserve">środków dowodowych zamiast wpisu </w:t>
            </w:r>
            <w:r w:rsidR="00040BC2" w:rsidRPr="497B2BD0">
              <w:rPr>
                <w:rFonts w:eastAsia="Calibri" w:cstheme="minorBidi"/>
              </w:rPr>
              <w:t xml:space="preserve">epeat.net </w:t>
            </w:r>
            <w:r w:rsidRPr="497B2BD0">
              <w:rPr>
                <w:rFonts w:eastAsia="Calibri" w:cstheme="minorBidi"/>
              </w:rPr>
              <w:t>pod warunkiem wykazania pełnego pokrycia wszystkich wymagań produktowych opisanych poniżej.</w:t>
            </w:r>
          </w:p>
          <w:p w14:paraId="09A3B198" w14:textId="77777777" w:rsidR="00317DF6" w:rsidRPr="003D6738" w:rsidRDefault="00317DF6" w:rsidP="497B2BD0">
            <w:pPr>
              <w:spacing w:after="0" w:line="276" w:lineRule="auto"/>
              <w:ind w:firstLine="360"/>
              <w:rPr>
                <w:rFonts w:eastAsia="Calibri" w:cstheme="minorBidi"/>
              </w:rPr>
            </w:pPr>
            <w:r w:rsidRPr="497B2BD0">
              <w:rPr>
                <w:rFonts w:eastAsia="Calibri" w:cstheme="minorBidi"/>
              </w:rPr>
              <w:t>Równoważność dotyczy zakresu kryteriów, a nie nazwy etykiety.</w:t>
            </w:r>
          </w:p>
          <w:p w14:paraId="67E0B99B" w14:textId="77777777" w:rsidR="00317DF6" w:rsidRPr="003D6738" w:rsidRDefault="00317DF6" w:rsidP="497B2BD0">
            <w:pPr>
              <w:spacing w:after="0" w:line="276" w:lineRule="auto"/>
              <w:ind w:firstLine="360"/>
              <w:rPr>
                <w:rFonts w:eastAsia="Calibri" w:cstheme="minorBidi"/>
              </w:rPr>
            </w:pPr>
            <w:r w:rsidRPr="497B2BD0">
              <w:rPr>
                <w:rFonts w:eastAsia="Calibri" w:cstheme="minorBidi"/>
              </w:rPr>
              <w:t>Wymagania produktowe (muszą być spełnione łącznie dla każdego modelu/SKU)</w:t>
            </w:r>
          </w:p>
          <w:p w14:paraId="333D61A6" w14:textId="77777777" w:rsidR="00317DF6" w:rsidRPr="003D6738" w:rsidRDefault="00317DF6" w:rsidP="00882AC8">
            <w:pPr>
              <w:numPr>
                <w:ilvl w:val="1"/>
                <w:numId w:val="3"/>
              </w:numPr>
              <w:spacing w:after="0" w:line="276" w:lineRule="auto"/>
              <w:jc w:val="left"/>
              <w:rPr>
                <w:rFonts w:eastAsia="Calibri" w:cstheme="minorBidi"/>
              </w:rPr>
            </w:pPr>
            <w:r w:rsidRPr="497B2BD0">
              <w:rPr>
                <w:rFonts w:eastAsia="Calibri" w:cstheme="minorBidi"/>
              </w:rPr>
              <w:t>Ślad węglowy produktu (PCF/LCA).</w:t>
            </w:r>
          </w:p>
          <w:p w14:paraId="54D7FE30" w14:textId="77777777" w:rsidR="00317DF6" w:rsidRPr="003D6738" w:rsidRDefault="00317DF6" w:rsidP="497B2BD0">
            <w:pPr>
              <w:spacing w:after="0" w:line="276" w:lineRule="auto"/>
              <w:ind w:left="360"/>
              <w:rPr>
                <w:rFonts w:eastAsia="Calibri" w:cstheme="minorBidi"/>
              </w:rPr>
            </w:pPr>
            <w:r w:rsidRPr="497B2BD0">
              <w:rPr>
                <w:rFonts w:eastAsia="Calibri" w:cstheme="minorBidi"/>
                <w:b/>
                <w:bCs/>
              </w:rPr>
              <w:t>Dowody:</w:t>
            </w:r>
            <w:r w:rsidRPr="497B2BD0">
              <w:rPr>
                <w:rFonts w:eastAsia="Calibri" w:cstheme="minorBidi"/>
              </w:rPr>
              <w:t xml:space="preserve"> Deklaracja Product Carbon Footprint dla oferowanego modelu/SKU, opracowana wg ISO 14067 (dopuszczalnie w formie EPD wg ISO 14025), zawierająca:</w:t>
            </w:r>
          </w:p>
          <w:p w14:paraId="7D3F4BF4" w14:textId="77777777" w:rsidR="00317DF6" w:rsidRPr="003D6738" w:rsidRDefault="00317DF6" w:rsidP="497B2BD0">
            <w:pPr>
              <w:spacing w:after="0" w:line="276" w:lineRule="auto"/>
              <w:ind w:firstLine="360"/>
              <w:rPr>
                <w:rFonts w:eastAsia="Calibri" w:cstheme="minorBidi"/>
              </w:rPr>
            </w:pPr>
            <w:r w:rsidRPr="497B2BD0">
              <w:rPr>
                <w:rFonts w:eastAsia="Calibri" w:cstheme="minorBidi"/>
              </w:rPr>
              <w:t>— granicę systemu co najmniej cradle-to-gate + use (C2G+Use),</w:t>
            </w:r>
          </w:p>
          <w:p w14:paraId="0051CBA7" w14:textId="77777777" w:rsidR="00317DF6" w:rsidRPr="003D6738" w:rsidRDefault="00317DF6" w:rsidP="497B2BD0">
            <w:pPr>
              <w:spacing w:after="0" w:line="276" w:lineRule="auto"/>
              <w:ind w:firstLine="360"/>
              <w:rPr>
                <w:rFonts w:eastAsia="Calibri" w:cstheme="minorBidi"/>
              </w:rPr>
            </w:pPr>
            <w:r w:rsidRPr="497B2BD0">
              <w:rPr>
                <w:rFonts w:eastAsia="Calibri" w:cstheme="minorBidi"/>
              </w:rPr>
              <w:t>— przyjęty okres użytkowania ≥ 5 lat,</w:t>
            </w:r>
          </w:p>
          <w:p w14:paraId="5CFE6A75" w14:textId="77777777" w:rsidR="00317DF6" w:rsidRPr="003D6738" w:rsidRDefault="00317DF6" w:rsidP="497B2BD0">
            <w:pPr>
              <w:spacing w:after="0" w:line="276" w:lineRule="auto"/>
              <w:ind w:firstLine="360"/>
              <w:rPr>
                <w:rFonts w:eastAsia="Calibri" w:cstheme="minorBidi"/>
              </w:rPr>
            </w:pPr>
            <w:r w:rsidRPr="497B2BD0">
              <w:rPr>
                <w:rFonts w:eastAsia="Calibri" w:cstheme="minorBidi"/>
              </w:rPr>
              <w:t>— dane energetyczne (kWh/rok) dla profili obciążenia 20/50/100% lub równoważnych,</w:t>
            </w:r>
          </w:p>
          <w:p w14:paraId="2746EB77" w14:textId="77777777" w:rsidR="00317DF6" w:rsidRPr="003D6738" w:rsidRDefault="00317DF6" w:rsidP="497B2BD0">
            <w:pPr>
              <w:spacing w:after="0" w:line="276" w:lineRule="auto"/>
              <w:ind w:left="360"/>
              <w:rPr>
                <w:rFonts w:eastAsia="Calibri" w:cstheme="minorBidi"/>
              </w:rPr>
            </w:pPr>
            <w:r w:rsidRPr="497B2BD0">
              <w:rPr>
                <w:rFonts w:eastAsia="Calibri" w:cstheme="minorBidi"/>
              </w:rPr>
              <w:t>— weryfikację przez stronę trzecią; w przypadku PCF: wskazanie jednostki weryfikującej i numeru akredytacji (normy ISO 14065/ISO/IEC 17029; akredytacja krajowej jednostki akredytującej, np. PCA/DAkkS/Cofrac/Accredia/ENAC/UKAS).</w:t>
            </w:r>
          </w:p>
          <w:p w14:paraId="66C3F7BD" w14:textId="77777777" w:rsidR="00317DF6" w:rsidRPr="003D6738" w:rsidRDefault="00317DF6" w:rsidP="00882AC8">
            <w:pPr>
              <w:numPr>
                <w:ilvl w:val="1"/>
                <w:numId w:val="3"/>
              </w:numPr>
              <w:spacing w:after="0" w:line="276" w:lineRule="auto"/>
              <w:jc w:val="left"/>
              <w:rPr>
                <w:rFonts w:eastAsia="Calibri" w:cstheme="minorBidi"/>
              </w:rPr>
            </w:pPr>
            <w:r w:rsidRPr="497B2BD0">
              <w:rPr>
                <w:rFonts w:eastAsia="Calibri" w:cstheme="minorBidi"/>
              </w:rPr>
              <w:t>Ekoprojekt (Ecodesign) — serwery.</w:t>
            </w:r>
          </w:p>
          <w:p w14:paraId="070400C1" w14:textId="77777777" w:rsidR="00317DF6" w:rsidRPr="003D6738" w:rsidRDefault="00317DF6" w:rsidP="497B2BD0">
            <w:pPr>
              <w:spacing w:after="0" w:line="276" w:lineRule="auto"/>
              <w:ind w:firstLine="360"/>
              <w:rPr>
                <w:rFonts w:eastAsia="Calibri" w:cstheme="minorBidi"/>
              </w:rPr>
            </w:pPr>
            <w:r w:rsidRPr="497B2BD0">
              <w:rPr>
                <w:rFonts w:eastAsia="Calibri" w:cstheme="minorBidi"/>
              </w:rPr>
              <w:t>Zgodność z rozporządzeniem (UE) 2019/424 dla serwerów i produktów do przechowywania danych.</w:t>
            </w:r>
          </w:p>
          <w:p w14:paraId="3F9D9F97" w14:textId="77777777" w:rsidR="00317DF6" w:rsidRPr="003D6738" w:rsidRDefault="00317DF6" w:rsidP="497B2BD0">
            <w:pPr>
              <w:spacing w:after="0" w:line="276" w:lineRule="auto"/>
              <w:ind w:left="360"/>
              <w:rPr>
                <w:rFonts w:eastAsia="Calibri" w:cstheme="minorBidi"/>
              </w:rPr>
            </w:pPr>
            <w:r w:rsidRPr="497B2BD0">
              <w:rPr>
                <w:rFonts w:eastAsia="Calibri" w:cstheme="minorBidi"/>
                <w:b/>
                <w:bCs/>
              </w:rPr>
              <w:lastRenderedPageBreak/>
              <w:t>Dowody:</w:t>
            </w:r>
            <w:r w:rsidRPr="497B2BD0">
              <w:rPr>
                <w:rFonts w:eastAsia="Calibri" w:cstheme="minorBidi"/>
              </w:rPr>
              <w:t xml:space="preserve"> Deklaracja Zgodności UE (EU DoC) dla modelu/SKU z jednoznacznym odniesieniem do (UE) 2019/424 oraz karta informacyjna produktu (product information sheet).</w:t>
            </w:r>
          </w:p>
          <w:p w14:paraId="1D003588" w14:textId="77777777" w:rsidR="00317DF6" w:rsidRPr="003D6738" w:rsidRDefault="00317DF6" w:rsidP="00882AC8">
            <w:pPr>
              <w:numPr>
                <w:ilvl w:val="1"/>
                <w:numId w:val="3"/>
              </w:numPr>
              <w:spacing w:after="0" w:line="276" w:lineRule="auto"/>
              <w:jc w:val="left"/>
              <w:rPr>
                <w:rFonts w:eastAsia="Calibri" w:cstheme="minorBidi"/>
              </w:rPr>
            </w:pPr>
            <w:r w:rsidRPr="497B2BD0">
              <w:rPr>
                <w:rFonts w:eastAsia="Calibri" w:cstheme="minorBidi"/>
              </w:rPr>
              <w:t>Ograniczenie substancji niebezpiecznych (RoHS).</w:t>
            </w:r>
          </w:p>
          <w:p w14:paraId="2C12556F" w14:textId="77777777" w:rsidR="00317DF6" w:rsidRPr="003D6738" w:rsidRDefault="00317DF6" w:rsidP="497B2BD0">
            <w:pPr>
              <w:spacing w:after="0" w:line="276" w:lineRule="auto"/>
              <w:rPr>
                <w:rFonts w:eastAsia="Calibri" w:cstheme="minorBidi"/>
              </w:rPr>
            </w:pPr>
            <w:r w:rsidRPr="497B2BD0">
              <w:rPr>
                <w:rFonts w:eastAsia="Calibri" w:cstheme="minorBidi"/>
              </w:rPr>
              <w:t>Zgodność z dyrektywą 2011/65/UE (wraz z aktami zmieniającymi).</w:t>
            </w:r>
          </w:p>
          <w:p w14:paraId="5664518C" w14:textId="77777777" w:rsidR="00317DF6" w:rsidRPr="003D6738" w:rsidRDefault="00317DF6" w:rsidP="497B2BD0">
            <w:pPr>
              <w:spacing w:after="0" w:line="276" w:lineRule="auto"/>
              <w:rPr>
                <w:rFonts w:eastAsia="Calibri" w:cstheme="minorBidi"/>
              </w:rPr>
            </w:pPr>
            <w:r w:rsidRPr="497B2BD0">
              <w:rPr>
                <w:rFonts w:eastAsia="Calibri" w:cstheme="minorBidi"/>
                <w:b/>
                <w:bCs/>
              </w:rPr>
              <w:t>Dowody:</w:t>
            </w:r>
            <w:r w:rsidRPr="497B2BD0">
              <w:rPr>
                <w:rFonts w:eastAsia="Calibri" w:cstheme="minorBidi"/>
              </w:rPr>
              <w:t xml:space="preserve"> EU DoC; dopuszcza się raporty badań z laboratoriów akredytowanych wg ISO/IEC 17025.</w:t>
            </w:r>
          </w:p>
          <w:p w14:paraId="619959F9" w14:textId="77777777" w:rsidR="00317DF6" w:rsidRPr="003D6738" w:rsidRDefault="00317DF6" w:rsidP="00882AC8">
            <w:pPr>
              <w:numPr>
                <w:ilvl w:val="1"/>
                <w:numId w:val="3"/>
              </w:numPr>
              <w:spacing w:after="0" w:line="276" w:lineRule="auto"/>
              <w:jc w:val="left"/>
              <w:rPr>
                <w:rFonts w:eastAsia="Calibri" w:cstheme="minorBidi"/>
              </w:rPr>
            </w:pPr>
            <w:r w:rsidRPr="497B2BD0">
              <w:rPr>
                <w:rFonts w:eastAsia="Calibri" w:cstheme="minorBidi"/>
              </w:rPr>
              <w:t>REACH.</w:t>
            </w:r>
          </w:p>
          <w:p w14:paraId="531D97CC" w14:textId="77777777" w:rsidR="00317DF6" w:rsidRPr="003D6738" w:rsidRDefault="00317DF6" w:rsidP="497B2BD0">
            <w:pPr>
              <w:spacing w:after="0" w:line="276" w:lineRule="auto"/>
              <w:rPr>
                <w:rFonts w:eastAsia="Calibri" w:cstheme="minorBidi"/>
              </w:rPr>
            </w:pPr>
            <w:r w:rsidRPr="497B2BD0">
              <w:rPr>
                <w:rFonts w:eastAsia="Calibri" w:cstheme="minorBidi"/>
              </w:rPr>
              <w:t>Spełnienie obowiązków rozporządzenia (WE) 1907/2006 (REACH), w tym informowanie o SVHC (art. 33) i zgodność z załącznikiem XVII.</w:t>
            </w:r>
          </w:p>
          <w:p w14:paraId="31554DFE" w14:textId="77777777" w:rsidR="00317DF6" w:rsidRPr="003D6738" w:rsidRDefault="00317DF6" w:rsidP="497B2BD0">
            <w:pPr>
              <w:spacing w:after="0" w:line="276" w:lineRule="auto"/>
              <w:rPr>
                <w:rFonts w:eastAsia="Calibri" w:cstheme="minorBidi"/>
              </w:rPr>
            </w:pPr>
            <w:r w:rsidRPr="497B2BD0">
              <w:rPr>
                <w:rFonts w:eastAsia="Calibri" w:cstheme="minorBidi"/>
                <w:b/>
                <w:bCs/>
              </w:rPr>
              <w:t>Dowody:</w:t>
            </w:r>
            <w:r w:rsidRPr="497B2BD0">
              <w:rPr>
                <w:rFonts w:eastAsia="Calibri" w:cstheme="minorBidi"/>
              </w:rPr>
              <w:t xml:space="preserve"> oświadczenia producenta/upoważnionego przedstawiciela (AR) dla wyrobu i komponentów.</w:t>
            </w:r>
          </w:p>
          <w:p w14:paraId="309DDDCB" w14:textId="77777777" w:rsidR="00317DF6" w:rsidRPr="003D6738" w:rsidRDefault="00317DF6" w:rsidP="00882AC8">
            <w:pPr>
              <w:numPr>
                <w:ilvl w:val="1"/>
                <w:numId w:val="3"/>
              </w:numPr>
              <w:spacing w:after="0" w:line="276" w:lineRule="auto"/>
              <w:jc w:val="left"/>
              <w:rPr>
                <w:rFonts w:eastAsia="Calibri" w:cstheme="minorBidi"/>
              </w:rPr>
            </w:pPr>
            <w:r w:rsidRPr="497B2BD0">
              <w:rPr>
                <w:rFonts w:eastAsia="Calibri" w:cstheme="minorBidi"/>
              </w:rPr>
              <w:t>WEEE / koniec cyklu życia.</w:t>
            </w:r>
          </w:p>
          <w:p w14:paraId="33528A64" w14:textId="77777777" w:rsidR="00317DF6" w:rsidRPr="003D6738" w:rsidRDefault="00317DF6" w:rsidP="497B2BD0">
            <w:pPr>
              <w:spacing w:after="0" w:line="276" w:lineRule="auto"/>
              <w:rPr>
                <w:rFonts w:eastAsia="Calibri" w:cstheme="minorBidi"/>
              </w:rPr>
            </w:pPr>
            <w:r w:rsidRPr="497B2BD0">
              <w:rPr>
                <w:rFonts w:eastAsia="Calibri" w:cstheme="minorBidi"/>
              </w:rPr>
              <w:t>Realizacja obowiązków z dyrektywy 2012/19/UE (WEEE); w Polsce — numer BDO podmiotu wprowadzającego.</w:t>
            </w:r>
          </w:p>
          <w:p w14:paraId="0093E969" w14:textId="77777777" w:rsidR="00317DF6" w:rsidRPr="003D6738" w:rsidRDefault="00317DF6" w:rsidP="497B2BD0">
            <w:pPr>
              <w:spacing w:after="0" w:line="276" w:lineRule="auto"/>
              <w:rPr>
                <w:rFonts w:eastAsia="Calibri" w:cstheme="minorBidi"/>
              </w:rPr>
            </w:pPr>
            <w:r w:rsidRPr="497B2BD0">
              <w:rPr>
                <w:rFonts w:eastAsia="Calibri" w:cstheme="minorBidi"/>
                <w:b/>
                <w:bCs/>
              </w:rPr>
              <w:t>Dowody:</w:t>
            </w:r>
            <w:r w:rsidRPr="497B2BD0">
              <w:rPr>
                <w:rFonts w:eastAsia="Calibri" w:cstheme="minorBidi"/>
              </w:rPr>
              <w:t xml:space="preserve"> numer BDO oraz instrukcja demontażu/odzysku (EoL) przypisana do modelu/SKU.</w:t>
            </w:r>
          </w:p>
          <w:p w14:paraId="456E14C5" w14:textId="77777777" w:rsidR="00317DF6" w:rsidRPr="003D6738" w:rsidRDefault="00317DF6" w:rsidP="00882AC8">
            <w:pPr>
              <w:numPr>
                <w:ilvl w:val="1"/>
                <w:numId w:val="3"/>
              </w:numPr>
              <w:spacing w:after="0" w:line="276" w:lineRule="auto"/>
              <w:jc w:val="left"/>
              <w:rPr>
                <w:rFonts w:eastAsia="Calibri" w:cstheme="minorBidi"/>
              </w:rPr>
            </w:pPr>
            <w:r w:rsidRPr="497B2BD0">
              <w:rPr>
                <w:rFonts w:eastAsia="Calibri" w:cstheme="minorBidi"/>
              </w:rPr>
              <w:t>Trwałość i serwisowalność.</w:t>
            </w:r>
          </w:p>
          <w:p w14:paraId="2B1FA92D" w14:textId="77777777" w:rsidR="00317DF6" w:rsidRPr="003D6738" w:rsidRDefault="00317DF6" w:rsidP="497B2BD0">
            <w:pPr>
              <w:spacing w:after="0" w:line="276" w:lineRule="auto"/>
              <w:rPr>
                <w:rFonts w:eastAsia="Calibri" w:cstheme="minorBidi"/>
              </w:rPr>
            </w:pPr>
            <w:r w:rsidRPr="497B2BD0">
              <w:rPr>
                <w:rFonts w:eastAsia="Calibri" w:cstheme="minorBidi"/>
              </w:rPr>
              <w:t>Dostępność części zamiennych (FRU) dla oferowanej konfiguracji przez ≥ 5 lat; możliwość wymiany FRU (PSU, wentylatory, pamięci, dyski itp.).</w:t>
            </w:r>
          </w:p>
          <w:p w14:paraId="78A9FFF5" w14:textId="77777777" w:rsidR="00317DF6" w:rsidRPr="003D6738" w:rsidRDefault="00317DF6" w:rsidP="497B2BD0">
            <w:pPr>
              <w:spacing w:line="276" w:lineRule="auto"/>
              <w:rPr>
                <w:rFonts w:eastAsia="Calibri" w:cstheme="minorBidi"/>
              </w:rPr>
            </w:pPr>
            <w:r w:rsidRPr="497B2BD0">
              <w:rPr>
                <w:rFonts w:eastAsia="Calibri" w:cstheme="minorBidi"/>
                <w:b/>
                <w:bCs/>
              </w:rPr>
              <w:t>Dowody:</w:t>
            </w:r>
            <w:r w:rsidRPr="497B2BD0">
              <w:rPr>
                <w:rFonts w:eastAsia="Calibri" w:cstheme="minorBidi"/>
              </w:rPr>
              <w:t xml:space="preserve"> wykaz FRU i pisemne oświadczenie producenta.</w:t>
            </w:r>
          </w:p>
          <w:p w14:paraId="2CCD4753" w14:textId="77777777" w:rsidR="00317DF6" w:rsidRPr="003D6738" w:rsidRDefault="00317DF6" w:rsidP="00882AC8">
            <w:pPr>
              <w:numPr>
                <w:ilvl w:val="0"/>
                <w:numId w:val="5"/>
              </w:numPr>
              <w:spacing w:after="0" w:line="276" w:lineRule="auto"/>
              <w:rPr>
                <w:rFonts w:eastAsia="Calibri" w:cstheme="minorBidi"/>
              </w:rPr>
            </w:pPr>
            <w:r w:rsidRPr="497B2BD0">
              <w:rPr>
                <w:rFonts w:eastAsia="Calibri" w:cstheme="minorBidi"/>
              </w:rPr>
              <w:t>Zamawiający, w przypadku zaoferowania przez Wykonawcę równoważnych środków dowodowych w zakresie spełniania zasady DNSH, wymaga również przedstawienia następujących środków dowodowych:</w:t>
            </w:r>
          </w:p>
          <w:p w14:paraId="5A361597" w14:textId="77777777" w:rsidR="00317DF6" w:rsidRPr="003D6738" w:rsidRDefault="00317DF6" w:rsidP="00882AC8">
            <w:pPr>
              <w:numPr>
                <w:ilvl w:val="0"/>
                <w:numId w:val="6"/>
              </w:numPr>
              <w:spacing w:after="0" w:line="276" w:lineRule="auto"/>
              <w:ind w:left="1428"/>
              <w:rPr>
                <w:rFonts w:eastAsia="Calibri" w:cstheme="minorBidi"/>
              </w:rPr>
            </w:pPr>
            <w:r w:rsidRPr="497B2BD0">
              <w:rPr>
                <w:rFonts w:eastAsia="Calibri" w:cstheme="minorBidi"/>
              </w:rPr>
              <w:t>EPD (ISO 14025) — dokument musi zawierać: ID/URL rejestru, nazwę operatora programu, numer/wersję PCR, opis granic systemu, danych i scenariuszy, weryfikatora strony trzeciej oraz datę ważności; EPD musi dotyczyć tego modelu/SKU.</w:t>
            </w:r>
          </w:p>
          <w:p w14:paraId="67E724E9" w14:textId="77777777" w:rsidR="00317DF6" w:rsidRPr="003D6738" w:rsidRDefault="00317DF6" w:rsidP="497B2BD0">
            <w:pPr>
              <w:spacing w:after="0" w:line="276" w:lineRule="auto"/>
              <w:ind w:left="708"/>
              <w:rPr>
                <w:rFonts w:eastAsia="Calibri" w:cstheme="minorBidi"/>
              </w:rPr>
            </w:pPr>
            <w:r w:rsidRPr="497B2BD0">
              <w:rPr>
                <w:rFonts w:eastAsia="Calibri" w:cstheme="minorBidi"/>
              </w:rPr>
              <w:t>lub</w:t>
            </w:r>
          </w:p>
          <w:p w14:paraId="297FDD6E" w14:textId="77777777" w:rsidR="00317DF6" w:rsidRPr="003D6738" w:rsidRDefault="00317DF6" w:rsidP="00882AC8">
            <w:pPr>
              <w:numPr>
                <w:ilvl w:val="0"/>
                <w:numId w:val="6"/>
              </w:numPr>
              <w:spacing w:after="0" w:line="276" w:lineRule="auto"/>
              <w:ind w:left="1428"/>
              <w:rPr>
                <w:rFonts w:eastAsia="Calibri" w:cstheme="minorBidi"/>
              </w:rPr>
            </w:pPr>
            <w:r w:rsidRPr="497B2BD0">
              <w:rPr>
                <w:rFonts w:eastAsia="Calibri" w:cstheme="minorBidi"/>
              </w:rPr>
              <w:t>PCF (ISO 14067) — raport dla tego modelu/SKU z opisem metody, granic (min. C2G+Use), okresem 5 lat, danymi energetycznymi oraz raportem weryfikacji 3rd-party zawierającym nazwę jednostki weryfikującej i numer akredytacji właściwej krajowej jednostki akredytującej (np. PCA – Polska, DAkkS – Niemcy, Cofrac – Francja, Accredia – Włochy, ENAC – Hiszpania, UKAS – Wielka Brytania).</w:t>
            </w:r>
          </w:p>
          <w:p w14:paraId="295E962F" w14:textId="77777777" w:rsidR="00317DF6" w:rsidRPr="003D6738" w:rsidRDefault="00317DF6" w:rsidP="497B2BD0">
            <w:pPr>
              <w:spacing w:after="0" w:line="276" w:lineRule="auto"/>
              <w:ind w:left="708"/>
              <w:rPr>
                <w:rFonts w:eastAsia="Calibri" w:cstheme="minorBidi"/>
              </w:rPr>
            </w:pPr>
            <w:r w:rsidRPr="497B2BD0">
              <w:rPr>
                <w:rFonts w:eastAsia="Calibri" w:cstheme="minorBidi"/>
              </w:rPr>
              <w:t>oraz (łącznie z a/b)</w:t>
            </w:r>
          </w:p>
          <w:p w14:paraId="2CB45F05" w14:textId="77777777" w:rsidR="00317DF6" w:rsidRPr="003D6738" w:rsidRDefault="00317DF6" w:rsidP="00882AC8">
            <w:pPr>
              <w:numPr>
                <w:ilvl w:val="0"/>
                <w:numId w:val="6"/>
              </w:numPr>
              <w:spacing w:after="0" w:line="276" w:lineRule="auto"/>
              <w:ind w:left="1428"/>
              <w:rPr>
                <w:rFonts w:eastAsia="Calibri" w:cstheme="minorBidi"/>
              </w:rPr>
            </w:pPr>
            <w:r w:rsidRPr="497B2BD0">
              <w:rPr>
                <w:rFonts w:eastAsia="Calibri" w:cstheme="minorBidi"/>
              </w:rPr>
              <w:lastRenderedPageBreak/>
              <w:t>EU DoC: (UE) 2019/424 + RoHS + REACH dla modelu/SKU; podpis producenta lub EU Authorised Representative (AR) z siedzibą w UE.</w:t>
            </w:r>
          </w:p>
          <w:p w14:paraId="1EAE0368" w14:textId="77777777" w:rsidR="00317DF6" w:rsidRPr="003D6738" w:rsidRDefault="00317DF6" w:rsidP="00882AC8">
            <w:pPr>
              <w:numPr>
                <w:ilvl w:val="0"/>
                <w:numId w:val="6"/>
              </w:numPr>
              <w:spacing w:after="0" w:line="276" w:lineRule="auto"/>
              <w:ind w:left="1428"/>
              <w:rPr>
                <w:rFonts w:eastAsia="Calibri" w:cstheme="minorBidi"/>
              </w:rPr>
            </w:pPr>
            <w:r w:rsidRPr="497B2BD0">
              <w:rPr>
                <w:rFonts w:eastAsia="Calibri" w:cstheme="minorBidi"/>
              </w:rPr>
              <w:t>WEEE/BDO + instrukcja EoL dla modelu/SKU.</w:t>
            </w:r>
          </w:p>
          <w:p w14:paraId="14C5764A" w14:textId="77777777" w:rsidR="00317DF6" w:rsidRPr="003D6738" w:rsidRDefault="00317DF6" w:rsidP="00882AC8">
            <w:pPr>
              <w:numPr>
                <w:ilvl w:val="0"/>
                <w:numId w:val="6"/>
              </w:numPr>
              <w:spacing w:after="0" w:line="276" w:lineRule="auto"/>
              <w:ind w:left="1428"/>
              <w:rPr>
                <w:rFonts w:eastAsia="Calibri" w:cstheme="minorBidi"/>
              </w:rPr>
            </w:pPr>
            <w:r w:rsidRPr="497B2BD0">
              <w:rPr>
                <w:rFonts w:eastAsia="Calibri" w:cstheme="minorBidi"/>
              </w:rPr>
              <w:t>FRU ≥ 5 lat — wykaz i oświadczenie producenta.</w:t>
            </w:r>
          </w:p>
          <w:p w14:paraId="7657AFA0" w14:textId="77777777" w:rsidR="00317DF6" w:rsidRPr="003D6738" w:rsidRDefault="00317DF6" w:rsidP="00882AC8">
            <w:pPr>
              <w:numPr>
                <w:ilvl w:val="0"/>
                <w:numId w:val="6"/>
              </w:numPr>
              <w:spacing w:after="0" w:line="276" w:lineRule="auto"/>
              <w:ind w:left="1428"/>
              <w:rPr>
                <w:rFonts w:eastAsia="Calibri" w:cstheme="minorBidi"/>
              </w:rPr>
            </w:pPr>
            <w:r w:rsidRPr="497B2BD0">
              <w:rPr>
                <w:rFonts w:eastAsia="Calibri" w:cstheme="minorBidi"/>
              </w:rPr>
              <w:t>Tabela mapująca (wymóg → dokument/ID/sekcja/strona) przygotowana przez Wykonawcę.</w:t>
            </w:r>
          </w:p>
          <w:p w14:paraId="1CF9768D" w14:textId="77777777" w:rsidR="00317DF6" w:rsidRPr="003D6738" w:rsidRDefault="00317DF6" w:rsidP="00882AC8">
            <w:pPr>
              <w:numPr>
                <w:ilvl w:val="0"/>
                <w:numId w:val="3"/>
              </w:numPr>
              <w:spacing w:after="0" w:line="276" w:lineRule="auto"/>
              <w:ind w:left="1134"/>
              <w:rPr>
                <w:rFonts w:eastAsia="Calibri" w:cstheme="minorBidi"/>
              </w:rPr>
            </w:pPr>
            <w:r w:rsidRPr="497B2BD0">
              <w:rPr>
                <w:rFonts w:eastAsia="Calibri" w:cstheme="minorBidi"/>
              </w:rPr>
              <w:t>Zamawiający może weryfikować dokumenty w publicznych rejestrach (EPEAT, rejestry EPD operatorów programów, BDO, bazy akredytacji) oraz żądać uzupełnień/wyjaśnień, w tym m.in.:</w:t>
            </w:r>
          </w:p>
          <w:p w14:paraId="2945C894" w14:textId="77777777" w:rsidR="00317DF6" w:rsidRPr="003D6738" w:rsidRDefault="00317DF6" w:rsidP="497B2BD0">
            <w:pPr>
              <w:spacing w:after="0" w:line="276" w:lineRule="auto"/>
              <w:ind w:left="708" w:firstLine="426"/>
              <w:rPr>
                <w:rFonts w:eastAsia="Calibri" w:cstheme="minorBidi"/>
              </w:rPr>
            </w:pPr>
            <w:r w:rsidRPr="497B2BD0">
              <w:rPr>
                <w:rFonts w:eastAsia="Calibri" w:cstheme="minorBidi"/>
              </w:rPr>
              <w:t>— pełnomocnictwa producenta dla AR,</w:t>
            </w:r>
          </w:p>
          <w:p w14:paraId="752CA8EF" w14:textId="77777777" w:rsidR="00317DF6" w:rsidRPr="003D6738" w:rsidRDefault="00317DF6" w:rsidP="497B2BD0">
            <w:pPr>
              <w:spacing w:after="0" w:line="276" w:lineRule="auto"/>
              <w:ind w:left="708" w:firstLine="426"/>
              <w:rPr>
                <w:rFonts w:eastAsia="Calibri" w:cstheme="minorBidi"/>
              </w:rPr>
            </w:pPr>
            <w:r w:rsidRPr="497B2BD0">
              <w:rPr>
                <w:rFonts w:eastAsia="Calibri" w:cstheme="minorBidi"/>
              </w:rPr>
              <w:t>— potwierdzenia numeru akredytacji jednostki weryfikującej PCF/EPD,</w:t>
            </w:r>
          </w:p>
          <w:p w14:paraId="4D59CA7D" w14:textId="77777777" w:rsidR="00317DF6" w:rsidRDefault="00317DF6" w:rsidP="497B2BD0">
            <w:pPr>
              <w:spacing w:line="276" w:lineRule="auto"/>
              <w:ind w:left="708" w:firstLine="426"/>
              <w:rPr>
                <w:rFonts w:eastAsia="Calibri" w:cstheme="minorBidi"/>
              </w:rPr>
            </w:pPr>
            <w:r w:rsidRPr="497B2BD0">
              <w:rPr>
                <w:rFonts w:eastAsia="Calibri" w:cstheme="minorBidi"/>
              </w:rPr>
              <w:t>— doprecyzowania granic systemu (C2G+Use) i okresu 5 lat.</w:t>
            </w:r>
          </w:p>
          <w:p w14:paraId="632EA204" w14:textId="2EDBD730" w:rsidR="00F057B6" w:rsidRPr="004A4523" w:rsidRDefault="00F057B6" w:rsidP="497B2BD0">
            <w:pPr>
              <w:pStyle w:val="Akapitzlist"/>
              <w:spacing w:line="276" w:lineRule="auto"/>
              <w:rPr>
                <w:rFonts w:eastAsia="Calibri" w:cstheme="minorBidi"/>
                <w:lang w:val="pl-PL"/>
              </w:rPr>
            </w:pPr>
            <w:r w:rsidRPr="004A4523">
              <w:rPr>
                <w:rFonts w:eastAsia="Calibri" w:cstheme="minorBidi"/>
                <w:lang w:val="pl-PL"/>
              </w:rPr>
              <w:t>W przypadku równoważnych środków dowodowych w zakresie spełniania zasady DNSH, Zamawiający wymaga złożenia wraz z ofertą dokumentów/informacji, o których mowa w Rozdziale VIII ust. 3 SWZ.</w:t>
            </w:r>
          </w:p>
          <w:p w14:paraId="08BA0C62" w14:textId="39E95344" w:rsidR="00317DF6" w:rsidRPr="004A4523" w:rsidRDefault="00317DF6" w:rsidP="497B2BD0">
            <w:pPr>
              <w:pStyle w:val="Akapitzlist"/>
              <w:spacing w:after="0" w:line="276" w:lineRule="auto"/>
              <w:rPr>
                <w:rFonts w:eastAsia="Calibri" w:cstheme="minorBidi"/>
                <w:lang w:val="pl-PL"/>
              </w:rPr>
            </w:pPr>
            <w:r w:rsidRPr="004A4523">
              <w:rPr>
                <w:rFonts w:eastAsia="Calibri" w:cstheme="minorBidi"/>
                <w:lang w:val="pl-PL"/>
              </w:rPr>
              <w:t>Brak wykazania pełnej równoważności skutkuje uznaniem, że wymagania nie zostały spełnione i spowoduje odrzucenie oferty.</w:t>
            </w:r>
          </w:p>
          <w:p w14:paraId="36332254" w14:textId="6F32A434" w:rsidR="00044B7D" w:rsidRPr="003D6738" w:rsidRDefault="00044B7D" w:rsidP="0E3C54E5">
            <w:pPr>
              <w:spacing w:before="120" w:after="0" w:line="276" w:lineRule="auto"/>
              <w:rPr>
                <w:rFonts w:cstheme="minorBidi"/>
              </w:rPr>
            </w:pPr>
          </w:p>
        </w:tc>
      </w:tr>
      <w:tr w:rsidR="002F004D" w:rsidRPr="003D6738" w14:paraId="48BFAF31" w14:textId="77777777" w:rsidTr="4B81C135">
        <w:tc>
          <w:tcPr>
            <w:tcW w:w="659" w:type="dxa"/>
            <w:tcBorders>
              <w:top w:val="single" w:sz="4" w:space="0" w:color="auto"/>
              <w:left w:val="single" w:sz="4" w:space="0" w:color="auto"/>
              <w:bottom w:val="single" w:sz="4" w:space="0" w:color="auto"/>
              <w:right w:val="single" w:sz="4" w:space="0" w:color="auto"/>
            </w:tcBorders>
            <w:hideMark/>
          </w:tcPr>
          <w:p w14:paraId="6412DAE5" w14:textId="0A54A443" w:rsidR="003636B1" w:rsidRPr="003D6738" w:rsidRDefault="54BAB6AB" w:rsidP="497B2BD0">
            <w:pPr>
              <w:spacing w:line="256" w:lineRule="auto"/>
              <w:jc w:val="center"/>
              <w:rPr>
                <w:rFonts w:cstheme="minorBidi"/>
              </w:rPr>
            </w:pPr>
            <w:bookmarkStart w:id="4" w:name="_Hlk211589868"/>
            <w:r w:rsidRPr="497B2BD0">
              <w:rPr>
                <w:rFonts w:cstheme="minorBidi"/>
              </w:rPr>
              <w:lastRenderedPageBreak/>
              <w:t>1</w:t>
            </w:r>
            <w:r w:rsidR="00A03E55" w:rsidRPr="497B2BD0">
              <w:rPr>
                <w:rFonts w:cstheme="minorBidi"/>
              </w:rPr>
              <w:t>2</w:t>
            </w:r>
            <w:r w:rsidRPr="497B2BD0">
              <w:rPr>
                <w:rFonts w:cstheme="minorBidi"/>
              </w:rPr>
              <w:t>.</w:t>
            </w:r>
          </w:p>
        </w:tc>
        <w:tc>
          <w:tcPr>
            <w:tcW w:w="1603" w:type="dxa"/>
            <w:tcBorders>
              <w:top w:val="single" w:sz="4" w:space="0" w:color="auto"/>
              <w:left w:val="single" w:sz="4" w:space="0" w:color="auto"/>
              <w:bottom w:val="single" w:sz="4" w:space="0" w:color="auto"/>
              <w:right w:val="single" w:sz="4" w:space="0" w:color="auto"/>
            </w:tcBorders>
            <w:hideMark/>
          </w:tcPr>
          <w:p w14:paraId="4264686B" w14:textId="77777777" w:rsidR="003636B1" w:rsidRPr="003D6738" w:rsidRDefault="137E9A3B" w:rsidP="497B2BD0">
            <w:pPr>
              <w:spacing w:line="256" w:lineRule="auto"/>
              <w:rPr>
                <w:rFonts w:cstheme="minorBidi"/>
              </w:rPr>
            </w:pPr>
            <w:r w:rsidRPr="497B2BD0">
              <w:rPr>
                <w:rFonts w:cstheme="minorBidi"/>
              </w:rPr>
              <w:t>Gwarancja</w:t>
            </w:r>
          </w:p>
        </w:tc>
        <w:tc>
          <w:tcPr>
            <w:tcW w:w="7653" w:type="dxa"/>
            <w:tcBorders>
              <w:top w:val="single" w:sz="4" w:space="0" w:color="auto"/>
              <w:left w:val="single" w:sz="4" w:space="0" w:color="auto"/>
              <w:bottom w:val="single" w:sz="4" w:space="0" w:color="auto"/>
              <w:right w:val="single" w:sz="4" w:space="0" w:color="auto"/>
            </w:tcBorders>
            <w:hideMark/>
          </w:tcPr>
          <w:p w14:paraId="2106B9EC" w14:textId="486D0BF1" w:rsidR="003636B1" w:rsidRPr="003D6738" w:rsidRDefault="545847FB" w:rsidP="497B2BD0">
            <w:pPr>
              <w:spacing w:after="0"/>
              <w:contextualSpacing/>
              <w:jc w:val="left"/>
              <w:rPr>
                <w:rFonts w:cstheme="minorBidi"/>
              </w:rPr>
            </w:pPr>
            <w:r w:rsidRPr="497B2BD0">
              <w:rPr>
                <w:rFonts w:cstheme="minorBidi"/>
              </w:rPr>
              <w:t>1</w:t>
            </w:r>
            <w:r w:rsidR="00A03E55" w:rsidRPr="497B2BD0">
              <w:rPr>
                <w:rFonts w:cstheme="minorBidi"/>
              </w:rPr>
              <w:t>2</w:t>
            </w:r>
            <w:r w:rsidRPr="497B2BD0">
              <w:rPr>
                <w:rFonts w:cstheme="minorBidi"/>
              </w:rPr>
              <w:t xml:space="preserve">.1. </w:t>
            </w:r>
            <w:r w:rsidR="54BAB6AB" w:rsidRPr="497B2BD0">
              <w:rPr>
                <w:rFonts w:cstheme="minorBidi"/>
              </w:rPr>
              <w:t xml:space="preserve">Wykonawca </w:t>
            </w:r>
            <w:r w:rsidR="00E26D52" w:rsidRPr="497B2BD0">
              <w:rPr>
                <w:rFonts w:cstheme="minorBidi"/>
              </w:rPr>
              <w:t xml:space="preserve">zapewnia </w:t>
            </w:r>
            <w:r w:rsidR="54BAB6AB" w:rsidRPr="497B2BD0">
              <w:rPr>
                <w:rFonts w:cstheme="minorBidi"/>
              </w:rPr>
              <w:t>udziel</w:t>
            </w:r>
            <w:r w:rsidR="00E26D52" w:rsidRPr="497B2BD0">
              <w:rPr>
                <w:rFonts w:cstheme="minorBidi"/>
              </w:rPr>
              <w:t>enie</w:t>
            </w:r>
            <w:r w:rsidR="54BAB6AB" w:rsidRPr="497B2BD0">
              <w:rPr>
                <w:rFonts w:cstheme="minorBidi"/>
              </w:rPr>
              <w:t xml:space="preserve"> gwarancji</w:t>
            </w:r>
            <w:r w:rsidR="00E26D52" w:rsidRPr="497B2BD0">
              <w:rPr>
                <w:rFonts w:cstheme="minorBidi"/>
              </w:rPr>
              <w:t xml:space="preserve"> przez producenta Sprzętu</w:t>
            </w:r>
            <w:r w:rsidR="54BAB6AB" w:rsidRPr="497B2BD0">
              <w:rPr>
                <w:rFonts w:cstheme="minorBidi"/>
              </w:rPr>
              <w:t xml:space="preserve"> na terytorium Rzeczpospolitej Polskiej wykonywanej w miejscu instalacji Sprzętu na okres </w:t>
            </w:r>
            <w:r w:rsidR="41DB01C2" w:rsidRPr="497B2BD0">
              <w:rPr>
                <w:rFonts w:cstheme="minorBidi"/>
              </w:rPr>
              <w:t>60</w:t>
            </w:r>
            <w:r w:rsidR="54BAB6AB" w:rsidRPr="497B2BD0">
              <w:rPr>
                <w:rFonts w:cstheme="minorBidi"/>
              </w:rPr>
              <w:t xml:space="preserve"> miesięcy od dnia podpisania przez Zamawiającego Protokołu Odbioru wnioskującego o rozliczenie finansowe</w:t>
            </w:r>
            <w:r w:rsidR="00E26D52" w:rsidRPr="497B2BD0">
              <w:rPr>
                <w:rFonts w:cstheme="minorBidi"/>
              </w:rPr>
              <w:t>.</w:t>
            </w:r>
            <w:r w:rsidR="54BAB6AB" w:rsidRPr="497B2BD0">
              <w:rPr>
                <w:rFonts w:cstheme="minorBidi"/>
              </w:rPr>
              <w:t xml:space="preserve"> Jeżeli producent Sprzętu udziela gwarancji dłuższej niż </w:t>
            </w:r>
            <w:r w:rsidR="41DB01C2" w:rsidRPr="497B2BD0">
              <w:rPr>
                <w:rFonts w:cstheme="minorBidi"/>
              </w:rPr>
              <w:t>60</w:t>
            </w:r>
            <w:r w:rsidR="54BAB6AB" w:rsidRPr="497B2BD0">
              <w:rPr>
                <w:rFonts w:cstheme="minorBidi"/>
              </w:rPr>
              <w:t xml:space="preserve"> miesięcy, obowiązuje dłuższy okres gwarancji producenta Sprzętu.</w:t>
            </w:r>
          </w:p>
          <w:p w14:paraId="1A175F8A" w14:textId="02CFDF4C" w:rsidR="003636B1" w:rsidRPr="003D6738" w:rsidRDefault="707C0604" w:rsidP="497B2BD0">
            <w:pPr>
              <w:spacing w:after="0"/>
              <w:contextualSpacing/>
              <w:jc w:val="left"/>
              <w:rPr>
                <w:rFonts w:cstheme="minorBidi"/>
              </w:rPr>
            </w:pPr>
            <w:r w:rsidRPr="497B2BD0">
              <w:rPr>
                <w:rFonts w:cstheme="minorBidi"/>
              </w:rPr>
              <w:t>1</w:t>
            </w:r>
            <w:r w:rsidR="003D6738" w:rsidRPr="497B2BD0">
              <w:rPr>
                <w:rFonts w:cstheme="minorBidi"/>
              </w:rPr>
              <w:t>2</w:t>
            </w:r>
            <w:r w:rsidRPr="497B2BD0">
              <w:rPr>
                <w:rFonts w:cstheme="minorBidi"/>
              </w:rPr>
              <w:t xml:space="preserve">.2. </w:t>
            </w:r>
            <w:r w:rsidR="54BAB6AB" w:rsidRPr="497B2BD0">
              <w:rPr>
                <w:rFonts w:cstheme="minorBidi"/>
              </w:rPr>
              <w:t xml:space="preserve">Zgłoszenia przyjmowane </w:t>
            </w:r>
            <w:r w:rsidR="0C9002C8" w:rsidRPr="497B2BD0">
              <w:rPr>
                <w:rFonts w:cstheme="minorBidi"/>
              </w:rPr>
              <w:t xml:space="preserve">są </w:t>
            </w:r>
            <w:r w:rsidR="54BAB6AB" w:rsidRPr="497B2BD0">
              <w:rPr>
                <w:rFonts w:cstheme="minorBidi"/>
              </w:rPr>
              <w:t xml:space="preserve">w trybie 24x7x365, w języku polskim, poprzez ogólnopolską linię telefoniczną </w:t>
            </w:r>
            <w:r w:rsidR="00044B7D" w:rsidRPr="497B2BD0">
              <w:rPr>
                <w:rFonts w:cstheme="minorBidi"/>
              </w:rPr>
              <w:t>Wykonawcy lub za pośrednictwem poczty elektronicznej.</w:t>
            </w:r>
          </w:p>
          <w:p w14:paraId="0DB8EB95" w14:textId="63E9F996" w:rsidR="003636B1" w:rsidRPr="003D6738" w:rsidRDefault="6E0D6839" w:rsidP="497B2BD0">
            <w:pPr>
              <w:spacing w:after="0"/>
              <w:contextualSpacing/>
              <w:jc w:val="left"/>
              <w:rPr>
                <w:rFonts w:cstheme="minorBidi"/>
              </w:rPr>
            </w:pPr>
            <w:r w:rsidRPr="497B2BD0">
              <w:rPr>
                <w:rFonts w:cstheme="minorBidi"/>
              </w:rPr>
              <w:t>1</w:t>
            </w:r>
            <w:r w:rsidR="003D6738" w:rsidRPr="497B2BD0">
              <w:rPr>
                <w:rFonts w:cstheme="minorBidi"/>
              </w:rPr>
              <w:t>2</w:t>
            </w:r>
            <w:r w:rsidRPr="497B2BD0">
              <w:rPr>
                <w:rFonts w:cstheme="minorBidi"/>
              </w:rPr>
              <w:t xml:space="preserve">.3. </w:t>
            </w:r>
            <w:r w:rsidR="00820455" w:rsidRPr="497B2BD0">
              <w:rPr>
                <w:rFonts w:cstheme="minorBidi"/>
              </w:rPr>
              <w:t xml:space="preserve">Czas naprawy w miejscu instalacji w terminie do 48 godzin od zgłoszenia. </w:t>
            </w:r>
            <w:r w:rsidR="54BAB6AB" w:rsidRPr="497B2BD0">
              <w:rPr>
                <w:rFonts w:cstheme="minorBidi"/>
              </w:rPr>
              <w:t>Gwarancja realizowana jest przez</w:t>
            </w:r>
            <w:r w:rsidR="00A67317" w:rsidRPr="497B2BD0">
              <w:rPr>
                <w:rFonts w:cstheme="minorBidi"/>
              </w:rPr>
              <w:t xml:space="preserve"> certyfikowany</w:t>
            </w:r>
            <w:r w:rsidR="54BAB6AB" w:rsidRPr="497B2BD0">
              <w:rPr>
                <w:rFonts w:cstheme="minorBidi"/>
              </w:rPr>
              <w:t xml:space="preserve"> </w:t>
            </w:r>
            <w:r w:rsidR="008550F7" w:rsidRPr="497B2BD0">
              <w:rPr>
                <w:rFonts w:cstheme="minorBidi"/>
              </w:rPr>
              <w:t>(przez producenta oferowanych serwer</w:t>
            </w:r>
            <w:r w:rsidR="003D6738" w:rsidRPr="497B2BD0">
              <w:rPr>
                <w:rFonts w:cstheme="minorBidi"/>
              </w:rPr>
              <w:t>ów</w:t>
            </w:r>
            <w:r w:rsidR="008550F7" w:rsidRPr="497B2BD0">
              <w:rPr>
                <w:rFonts w:cstheme="minorBidi"/>
              </w:rPr>
              <w:t xml:space="preserve">) </w:t>
            </w:r>
            <w:r w:rsidR="54BAB6AB" w:rsidRPr="497B2BD0">
              <w:rPr>
                <w:rFonts w:cstheme="minorBidi"/>
              </w:rPr>
              <w:t>serwis Wykonawcy</w:t>
            </w:r>
            <w:r w:rsidR="008550F7" w:rsidRPr="497B2BD0">
              <w:rPr>
                <w:rFonts w:cstheme="minorBidi"/>
              </w:rPr>
              <w:t>,</w:t>
            </w:r>
            <w:r w:rsidR="54BAB6AB" w:rsidRPr="497B2BD0">
              <w:rPr>
                <w:rFonts w:cstheme="minorBidi"/>
              </w:rPr>
              <w:t xml:space="preserve"> przy </w:t>
            </w:r>
            <w:r w:rsidR="008550F7" w:rsidRPr="497B2BD0">
              <w:rPr>
                <w:rFonts w:cstheme="minorBidi"/>
              </w:rPr>
              <w:t xml:space="preserve">opcjonalnym </w:t>
            </w:r>
            <w:r w:rsidR="54BAB6AB" w:rsidRPr="497B2BD0">
              <w:rPr>
                <w:rFonts w:cstheme="minorBidi"/>
              </w:rPr>
              <w:t>wsparciu producenta</w:t>
            </w:r>
            <w:r w:rsidR="00212B8B" w:rsidRPr="497B2BD0">
              <w:rPr>
                <w:rFonts w:cstheme="minorBidi"/>
              </w:rPr>
              <w:t xml:space="preserve"> </w:t>
            </w:r>
            <w:r w:rsidR="0041253A" w:rsidRPr="497B2BD0">
              <w:rPr>
                <w:rFonts w:cstheme="minorBidi"/>
              </w:rPr>
              <w:t>oferowanego serwera</w:t>
            </w:r>
            <w:r w:rsidR="54BAB6AB" w:rsidRPr="497B2BD0">
              <w:rPr>
                <w:rFonts w:cstheme="minorBidi"/>
              </w:rPr>
              <w:t xml:space="preserve"> lub </w:t>
            </w:r>
            <w:r w:rsidR="00212B8B" w:rsidRPr="497B2BD0">
              <w:rPr>
                <w:rFonts w:cstheme="minorBidi"/>
              </w:rPr>
              <w:t xml:space="preserve">przez </w:t>
            </w:r>
            <w:r w:rsidR="54BAB6AB" w:rsidRPr="497B2BD0">
              <w:rPr>
                <w:rFonts w:cstheme="minorBidi"/>
              </w:rPr>
              <w:t xml:space="preserve">producenta oferowanego serwera. </w:t>
            </w:r>
          </w:p>
          <w:p w14:paraId="0A325A52" w14:textId="2E4F1844" w:rsidR="003636B1" w:rsidRPr="003D6738" w:rsidRDefault="5BD95F0E" w:rsidP="497B2BD0">
            <w:pPr>
              <w:spacing w:after="0"/>
              <w:contextualSpacing/>
              <w:jc w:val="left"/>
              <w:rPr>
                <w:rFonts w:cstheme="minorBidi"/>
              </w:rPr>
            </w:pPr>
            <w:r w:rsidRPr="497B2BD0">
              <w:rPr>
                <w:rFonts w:cstheme="minorBidi"/>
              </w:rPr>
              <w:t>1</w:t>
            </w:r>
            <w:r w:rsidR="003D6738" w:rsidRPr="497B2BD0">
              <w:rPr>
                <w:rFonts w:cstheme="minorBidi"/>
              </w:rPr>
              <w:t>2</w:t>
            </w:r>
            <w:r w:rsidRPr="497B2BD0">
              <w:rPr>
                <w:rFonts w:cstheme="minorBidi"/>
              </w:rPr>
              <w:t xml:space="preserve">.4. </w:t>
            </w:r>
            <w:r w:rsidR="54BAB6AB" w:rsidRPr="497B2BD0">
              <w:rPr>
                <w:rFonts w:cstheme="minorBidi"/>
              </w:rPr>
              <w:t>W przypadku uszkodzenia nośnika danych (dysku), uszkodzony nośnik pozostaje u Zamawiającego.</w:t>
            </w:r>
          </w:p>
        </w:tc>
      </w:tr>
      <w:bookmarkEnd w:id="4"/>
    </w:tbl>
    <w:p w14:paraId="15EF0F32" w14:textId="0EDBC3A3" w:rsidR="00A25EAD" w:rsidRPr="003D6738" w:rsidRDefault="00A25EAD" w:rsidP="497B2BD0">
      <w:pPr>
        <w:rPr>
          <w:rFonts w:cstheme="minorBidi"/>
        </w:rPr>
      </w:pPr>
    </w:p>
    <w:p w14:paraId="16FF92D3" w14:textId="367061A3" w:rsidR="00DD33D1" w:rsidRPr="003D6738" w:rsidRDefault="00DD33D1" w:rsidP="004027D0">
      <w:pPr>
        <w:pStyle w:val="Akapitzlist"/>
        <w:numPr>
          <w:ilvl w:val="1"/>
          <w:numId w:val="7"/>
        </w:numPr>
        <w:spacing w:after="0" w:line="276" w:lineRule="auto"/>
        <w:contextualSpacing/>
        <w:rPr>
          <w:rFonts w:cstheme="minorBidi"/>
          <w:lang w:val="pl-PL"/>
        </w:rPr>
      </w:pPr>
      <w:r w:rsidRPr="004A4523">
        <w:rPr>
          <w:rFonts w:cstheme="minorBidi"/>
          <w:lang w:val="pl-PL"/>
        </w:rPr>
        <w:t xml:space="preserve">O ile nie wskazano inaczej, wszelkie odniesienia do nazw producentów, technologii, systemów, testów, platform lub źródeł, zawarte w niniejszej specyfikacji, służą wyłącznie precyzyjnemu opisaniu klasy funkcjonalności lub sposobu weryfikacji parametrów </w:t>
      </w:r>
      <w:r w:rsidRPr="004A4523">
        <w:rPr>
          <w:rFonts w:cstheme="minorBidi"/>
          <w:lang w:val="pl-PL"/>
        </w:rPr>
        <w:lastRenderedPageBreak/>
        <w:t>technicznych. Zamawiający dopuszcza rozwiązania równoważne, spełniające równoważne wymagania w zakresie kompatybilności, wydajności i wsparcia technicznego.</w:t>
      </w:r>
    </w:p>
    <w:p w14:paraId="6D16577E" w14:textId="04D24AB7" w:rsidR="00896C4F" w:rsidRPr="003D6738" w:rsidRDefault="00896C4F" w:rsidP="004027D0">
      <w:pPr>
        <w:pStyle w:val="Akapitzlist"/>
        <w:numPr>
          <w:ilvl w:val="1"/>
          <w:numId w:val="7"/>
        </w:numPr>
        <w:spacing w:after="0" w:line="276" w:lineRule="auto"/>
        <w:contextualSpacing/>
        <w:rPr>
          <w:rFonts w:cstheme="minorBidi"/>
          <w:lang w:val="pl-PL"/>
        </w:rPr>
      </w:pPr>
      <w:r w:rsidRPr="0E3C54E5">
        <w:rPr>
          <w:rFonts w:cstheme="minorBidi"/>
          <w:lang w:val="pl-PL"/>
        </w:rPr>
        <w:t>Zamawiający, działając na podstawie art. 16b ust. 2 ustawy Prawo zamówień publicznych określa mniej korzystne warunki w odniesieniu do dostaw i usług (w szczególności w zakresie sprzętu i oprogramowania) pochodzących z państw trzecich niebędących stronami umów międzynarodowych, o których mowa w art. 16b ust. 1 pkt 1 PZP (tj. państw spoza UE i państw nie będących stronami GPA lub innych umów gwarantujących wzajemność dostępu do rynku, zwanych dalej: "Państwa Trzecie").</w:t>
      </w:r>
    </w:p>
    <w:p w14:paraId="0158B9DD" w14:textId="128910A5" w:rsidR="00D12F89" w:rsidRPr="003D6738" w:rsidRDefault="00896C4F" w:rsidP="004027D0">
      <w:pPr>
        <w:pStyle w:val="Akapitzlist"/>
        <w:numPr>
          <w:ilvl w:val="1"/>
          <w:numId w:val="7"/>
        </w:numPr>
        <w:spacing w:after="0" w:line="276" w:lineRule="auto"/>
        <w:contextualSpacing/>
        <w:rPr>
          <w:rFonts w:cstheme="minorBidi"/>
          <w:lang w:val="pl-PL"/>
        </w:rPr>
      </w:pPr>
      <w:r w:rsidRPr="0E3C54E5">
        <w:rPr>
          <w:rFonts w:cstheme="minorBidi"/>
          <w:lang w:val="pl-PL"/>
        </w:rPr>
        <w:t xml:space="preserve"> W związku z powyższym Zamawiający wskazuje, że nie mogą być produktem (dostawą) lub usługą, której istotna część została wytworzona, dostarczona lub jest aktywnie i istotnie rozwijana/wspierana przez podmioty, osoby fizyczne lub prawne, które mają siedzibę, miejsce zamieszkania, główny ośrodek decyzyjny lub miejsce prowadzenia działalności gospodarczej w Państwach Trzecich.</w:t>
      </w:r>
      <w:r w:rsidR="00DD6EF2" w:rsidRPr="0E3C54E5">
        <w:rPr>
          <w:rFonts w:cstheme="minorBidi"/>
          <w:lang w:val="pl-PL"/>
        </w:rPr>
        <w:t xml:space="preserve"> </w:t>
      </w:r>
      <w:r w:rsidRPr="0E3C54E5">
        <w:rPr>
          <w:rFonts w:cstheme="minorBidi"/>
          <w:lang w:val="pl-PL"/>
        </w:rPr>
        <w:t>W rozumieniu niniejszego postanowienia, sprzęt i oprogramowanie uważa się za takie, którego istotna część została wytworzona, dostarczona i jest aktywnie i istotnie rozwijana/wspierana przez podmioty/osoby z Państw Trzecich (Państw spoza UE i GPA), jeśli spełniony jest choć jeden z następujących warunków:</w:t>
      </w:r>
    </w:p>
    <w:p w14:paraId="3E8E6822" w14:textId="5AAED985" w:rsidR="00896C4F" w:rsidRPr="003D6738" w:rsidRDefault="00896C4F" w:rsidP="004027D0">
      <w:pPr>
        <w:pStyle w:val="Akapitzlist"/>
        <w:numPr>
          <w:ilvl w:val="1"/>
          <w:numId w:val="7"/>
        </w:numPr>
        <w:spacing w:after="0" w:line="276" w:lineRule="auto"/>
        <w:contextualSpacing/>
        <w:rPr>
          <w:rFonts w:cstheme="minorBidi"/>
          <w:lang w:val="pl-PL"/>
        </w:rPr>
      </w:pPr>
      <w:r w:rsidRPr="004A4523">
        <w:rPr>
          <w:rFonts w:eastAsia="Times New Roman" w:cstheme="minorBidi"/>
          <w:color w:val="000000" w:themeColor="text1"/>
          <w:lang w:val="pl-PL"/>
        </w:rPr>
        <w:t>Zarządzanie</w:t>
      </w:r>
      <w:r w:rsidRPr="004A4523">
        <w:rPr>
          <w:rFonts w:cstheme="minorBidi"/>
          <w:lang w:val="pl-PL"/>
        </w:rPr>
        <w:t xml:space="preserve"> i Finansowanie (Ryzyko Kontroli):</w:t>
      </w:r>
      <w:r w:rsidR="00DD6EF2" w:rsidRPr="004A4523">
        <w:rPr>
          <w:rFonts w:cstheme="minorBidi"/>
          <w:lang w:val="pl-PL"/>
        </w:rPr>
        <w:t xml:space="preserve"> z</w:t>
      </w:r>
      <w:r w:rsidRPr="004A4523">
        <w:rPr>
          <w:rFonts w:cstheme="minorBidi"/>
          <w:lang w:val="pl-PL"/>
        </w:rPr>
        <w:t xml:space="preserve">arządza nim (tj. sprawuje kontrolę nad głównymi gałęziami rozwoju, wydawaniem oficjalnych wersji, procesem łatania luk bezpieczeństwa) podmiot lub fundacja z siedzibą, głównym ośrodkiem decyzyjnym lub kontrolną strukturą właścicielską (tj. </w:t>
      </w:r>
      <w:r w:rsidRPr="001357DA">
        <w:rPr>
          <w:rFonts w:cstheme="minorBidi"/>
          <w:lang w:val="pl-PL"/>
        </w:rPr>
        <w:t>&gt;50% udziałów) w Państwie Trzecim, lub Ponad 50% finansowania rozwoju i utrzymania głównego repozytorium projektu w okresie ostatnich 36 miesięcy pochodzi od podmiotów z Państw Trzecich.</w:t>
      </w:r>
    </w:p>
    <w:p w14:paraId="5A8678C6" w14:textId="31A78384" w:rsidR="00896C4F" w:rsidRPr="003D6738" w:rsidRDefault="00896C4F" w:rsidP="004027D0">
      <w:pPr>
        <w:pStyle w:val="Akapitzlist"/>
        <w:numPr>
          <w:ilvl w:val="1"/>
          <w:numId w:val="7"/>
        </w:numPr>
        <w:spacing w:after="0" w:line="276" w:lineRule="auto"/>
        <w:contextualSpacing/>
        <w:rPr>
          <w:rFonts w:cstheme="minorBidi"/>
          <w:lang w:val="pl-PL"/>
        </w:rPr>
      </w:pPr>
      <w:r w:rsidRPr="004A4523">
        <w:rPr>
          <w:rFonts w:cstheme="minorBidi"/>
          <w:lang w:val="pl-PL"/>
        </w:rPr>
        <w:t>Lokalizacja Danych Projektowych i Bezpieczeństwa:</w:t>
      </w:r>
      <w:r w:rsidR="00DD6EF2" w:rsidRPr="004A4523">
        <w:rPr>
          <w:rFonts w:cstheme="minorBidi"/>
          <w:lang w:val="pl-PL"/>
        </w:rPr>
        <w:t xml:space="preserve"> g</w:t>
      </w:r>
      <w:r w:rsidRPr="004A4523">
        <w:rPr>
          <w:rFonts w:cstheme="minorBidi"/>
          <w:lang w:val="pl-PL"/>
        </w:rPr>
        <w:t>łówne systemy zarządzania tożsamością i dostępem (IAM) dla administracji i wsparcia tego sprzętu i oprogramowania (lub jego kluczowych komponentów) znajdują się, są kontrolowane lub hostowane na serwerach zlokalizowanych w Państwie Trzecim.</w:t>
      </w:r>
    </w:p>
    <w:p w14:paraId="48FD23F6" w14:textId="77777777" w:rsidR="00DD6EF2" w:rsidRPr="003D6738" w:rsidRDefault="00896C4F" w:rsidP="004027D0">
      <w:pPr>
        <w:pStyle w:val="Akapitzlist"/>
        <w:numPr>
          <w:ilvl w:val="1"/>
          <w:numId w:val="7"/>
        </w:numPr>
        <w:spacing w:after="0" w:line="276" w:lineRule="auto"/>
        <w:contextualSpacing/>
        <w:rPr>
          <w:rFonts w:cstheme="minorBidi"/>
          <w:lang w:val="pl-PL"/>
        </w:rPr>
      </w:pPr>
      <w:r w:rsidRPr="004A4523">
        <w:rPr>
          <w:rFonts w:cstheme="minorBidi"/>
          <w:lang w:val="pl-PL"/>
        </w:rPr>
        <w:t>Kluczowe repozytoria, kopie zapasowe, repliki lub dane telemetryczne generowane przez sprzęt i oprogramowanie, niezbędne do jego funkcjonowania lub bezpieczeństwa, są obligatoryjnie (zgodnie z licencją lub architekturą) przesyłane lub przechowywane na serwerach zlokalizowanych w Państwie</w:t>
      </w:r>
      <w:r w:rsidRPr="004A4523">
        <w:rPr>
          <w:lang w:val="pl-PL"/>
        </w:rPr>
        <w:br/>
      </w:r>
      <w:r w:rsidRPr="004A4523">
        <w:rPr>
          <w:rFonts w:cstheme="minorBidi"/>
          <w:lang w:val="pl-PL"/>
        </w:rPr>
        <w:t>Trzecim.</w:t>
      </w:r>
    </w:p>
    <w:p w14:paraId="4B3FA38E" w14:textId="77777777" w:rsidR="00DD6EF2" w:rsidRPr="003D6738" w:rsidRDefault="00896C4F" w:rsidP="004027D0">
      <w:pPr>
        <w:pStyle w:val="Akapitzlist"/>
        <w:numPr>
          <w:ilvl w:val="1"/>
          <w:numId w:val="7"/>
        </w:numPr>
        <w:spacing w:after="0" w:line="276" w:lineRule="auto"/>
        <w:contextualSpacing/>
        <w:rPr>
          <w:rFonts w:cstheme="minorBidi"/>
          <w:lang w:val="pl-PL"/>
        </w:rPr>
      </w:pPr>
      <w:r w:rsidRPr="004A4523">
        <w:rPr>
          <w:rFonts w:cstheme="minorBidi"/>
          <w:lang w:val="pl-PL"/>
        </w:rPr>
        <w:t>Obowiązujące Prawo i Jurysdykcja (Ryzyko Prawne):</w:t>
      </w:r>
      <w:r w:rsidR="00DD6EF2" w:rsidRPr="004A4523">
        <w:rPr>
          <w:rFonts w:cstheme="minorBidi"/>
          <w:lang w:val="pl-PL"/>
        </w:rPr>
        <w:t xml:space="preserve"> </w:t>
      </w:r>
      <w:r w:rsidRPr="004A4523">
        <w:rPr>
          <w:rFonts w:cstheme="minorBidi"/>
          <w:lang w:val="pl-PL"/>
        </w:rPr>
        <w:t>Licencja lub umowa na korzystanie ze sprzętu i oprogramowania jest regulowana prawem Państwa Trzeciego i/lub przewiduje jako wyłączny właściwy sąd (lub arbitraż) z siedzibą w Państwie Trzecim.</w:t>
      </w:r>
    </w:p>
    <w:p w14:paraId="39F04E3F" w14:textId="378B7EAE" w:rsidR="00896C4F" w:rsidRPr="003D6738" w:rsidRDefault="00DD6EF2" w:rsidP="004027D0">
      <w:pPr>
        <w:pStyle w:val="Akapitzlist"/>
        <w:numPr>
          <w:ilvl w:val="1"/>
          <w:numId w:val="7"/>
        </w:numPr>
        <w:spacing w:after="0" w:line="276" w:lineRule="auto"/>
        <w:contextualSpacing/>
        <w:rPr>
          <w:rFonts w:cstheme="minorBidi"/>
          <w:lang w:val="pl-PL"/>
        </w:rPr>
      </w:pPr>
      <w:r w:rsidRPr="004A4523">
        <w:rPr>
          <w:rFonts w:cstheme="minorBidi"/>
          <w:lang w:val="pl-PL"/>
        </w:rPr>
        <w:t xml:space="preserve"> </w:t>
      </w:r>
      <w:r w:rsidR="00896C4F" w:rsidRPr="004A4523">
        <w:rPr>
          <w:rFonts w:cstheme="minorBidi"/>
          <w:lang w:val="pl-PL"/>
        </w:rPr>
        <w:t xml:space="preserve">Zamawiający wymaga, aby 100% personelu technicznego świadczącego krytyczne usługi gwarancyjne i usługi serwisowe dla Zamawiającego, w tym zdalny dostęp do systemów Zamawiającego w celu diagnozowania lub usuwania awarii, miało stałe miejsce zamieszkania </w:t>
      </w:r>
      <w:r w:rsidR="00896C4F" w:rsidRPr="004A4523">
        <w:rPr>
          <w:rFonts w:cstheme="minorBidi"/>
          <w:lang w:val="pl-PL"/>
        </w:rPr>
        <w:lastRenderedPageBreak/>
        <w:t>lub pracy w państwie UE lub</w:t>
      </w:r>
      <w:r w:rsidRPr="004A4523">
        <w:rPr>
          <w:rFonts w:cstheme="minorBidi"/>
          <w:lang w:val="pl-PL"/>
        </w:rPr>
        <w:t xml:space="preserve"> </w:t>
      </w:r>
      <w:r w:rsidR="00896C4F" w:rsidRPr="004A4523">
        <w:rPr>
          <w:rFonts w:cstheme="minorBidi"/>
          <w:lang w:val="pl-PL"/>
        </w:rPr>
        <w:t>będącym stroną GPA lub umów gwarantujących wzajemność dostępu do rynku.</w:t>
      </w:r>
    </w:p>
    <w:p w14:paraId="5656FB25" w14:textId="2D23AFC0" w:rsidR="00805EBC" w:rsidRPr="004027D0" w:rsidRDefault="004027D0" w:rsidP="004027D0">
      <w:pPr>
        <w:pStyle w:val="Akapitzlist"/>
        <w:numPr>
          <w:ilvl w:val="0"/>
          <w:numId w:val="7"/>
        </w:numPr>
        <w:spacing w:before="120"/>
        <w:outlineLvl w:val="0"/>
        <w:rPr>
          <w:rFonts w:eastAsia="Times New Roman" w:cstheme="minorBidi"/>
          <w:lang w:val="pl-PL" w:eastAsia="pl-PL"/>
        </w:rPr>
      </w:pPr>
      <w:r w:rsidRPr="004027D0">
        <w:rPr>
          <w:rFonts w:eastAsia="Times New Roman" w:cstheme="minorBidi"/>
          <w:b/>
          <w:bCs/>
          <w:lang w:val="pl-PL"/>
        </w:rPr>
        <w:t xml:space="preserve"> </w:t>
      </w:r>
      <w:r w:rsidR="00805EBC" w:rsidRPr="004027D0">
        <w:rPr>
          <w:rFonts w:eastAsia="Times New Roman" w:cstheme="minorBidi"/>
          <w:b/>
          <w:bCs/>
          <w:lang w:val="pl-PL"/>
        </w:rPr>
        <w:t>Dostawa licencji do oprogramowania VMware lub licencji oprogramowania równoważnego.</w:t>
      </w:r>
      <w:r w:rsidR="00805EBC" w:rsidRPr="004027D0">
        <w:rPr>
          <w:rFonts w:eastAsia="Times New Roman" w:cstheme="minorBidi"/>
          <w:lang w:val="pl-PL"/>
        </w:rPr>
        <w:t> </w:t>
      </w:r>
    </w:p>
    <w:p w14:paraId="61EDA67C" w14:textId="51A143DE" w:rsidR="00805EBC" w:rsidRPr="003D6738" w:rsidRDefault="004027D0" w:rsidP="004027D0">
      <w:pPr>
        <w:pStyle w:val="Akapitzlist"/>
        <w:numPr>
          <w:ilvl w:val="1"/>
          <w:numId w:val="7"/>
        </w:numPr>
        <w:spacing w:after="0" w:line="276" w:lineRule="auto"/>
        <w:contextualSpacing/>
        <w:rPr>
          <w:rFonts w:eastAsia="Times New Roman" w:cstheme="minorBidi"/>
          <w:lang w:val="pl-PL" w:eastAsia="pl-PL"/>
        </w:rPr>
      </w:pPr>
      <w:r>
        <w:rPr>
          <w:rFonts w:eastAsia="Times New Roman" w:cstheme="minorBidi"/>
          <w:color w:val="000000" w:themeColor="text1"/>
          <w:lang w:val="pl-PL"/>
        </w:rPr>
        <w:t xml:space="preserve"> </w:t>
      </w:r>
      <w:r w:rsidR="00805EBC" w:rsidRPr="004A4523">
        <w:rPr>
          <w:rFonts w:eastAsia="Times New Roman" w:cstheme="minorBidi"/>
          <w:color w:val="000000" w:themeColor="text1"/>
          <w:lang w:val="pl-PL"/>
        </w:rPr>
        <w:t>Dostawa licencji oprogramowania ujętego w tabeli poniżej wraz ze wsparciem producenta na okres 60 miesięcy</w:t>
      </w:r>
      <w:r>
        <w:rPr>
          <w:rFonts w:eastAsia="Times New Roman" w:cstheme="minorBidi"/>
          <w:color w:val="000000" w:themeColor="text1"/>
          <w:lang w:val="pl-PL"/>
        </w:rPr>
        <w:t xml:space="preserve">. </w:t>
      </w:r>
      <w:r w:rsidRPr="001357DA">
        <w:rPr>
          <w:rFonts w:eastAsia="Times New Roman" w:cstheme="minorBidi"/>
          <w:color w:val="000000" w:themeColor="text1"/>
          <w:lang w:val="pl-PL"/>
        </w:rPr>
        <w:t>Liczba licencji/subskrypcji musi pokrywać wszystkie core dostarczonych serwerów i być zgodna z warunkami licencjonowania Broadcom</w:t>
      </w:r>
      <w:r>
        <w:rPr>
          <w:rFonts w:eastAsia="Times New Roman" w:cstheme="minorBidi"/>
          <w:color w:val="000000" w:themeColor="text1"/>
          <w:lang w:val="pl-PL"/>
        </w:rPr>
        <w:t>.</w:t>
      </w:r>
    </w:p>
    <w:p w14:paraId="7518E066" w14:textId="77777777" w:rsidR="00805EBC" w:rsidRPr="00805EBC" w:rsidRDefault="00805EBC" w:rsidP="497B2BD0">
      <w:pPr>
        <w:spacing w:after="0" w:line="240" w:lineRule="auto"/>
        <w:ind w:left="330"/>
        <w:textAlignment w:val="baseline"/>
        <w:rPr>
          <w:rFonts w:eastAsia="Times New Roman" w:cstheme="minorBidi"/>
          <w:lang w:eastAsia="pl-PL"/>
        </w:rPr>
      </w:pPr>
      <w:r w:rsidRPr="497B2BD0">
        <w:rPr>
          <w:rFonts w:eastAsia="Times New Roman" w:cstheme="minorBidi"/>
          <w:color w:val="000000" w:themeColor="text1"/>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3315"/>
        <w:gridCol w:w="2970"/>
        <w:gridCol w:w="1260"/>
      </w:tblGrid>
      <w:tr w:rsidR="00805EBC" w:rsidRPr="00805EBC" w14:paraId="029B68D0" w14:textId="77777777" w:rsidTr="0E3C54E5">
        <w:trPr>
          <w:trHeight w:val="900"/>
        </w:trPr>
        <w:tc>
          <w:tcPr>
            <w:tcW w:w="945" w:type="dxa"/>
            <w:tcBorders>
              <w:top w:val="single" w:sz="6" w:space="0" w:color="auto"/>
              <w:left w:val="single" w:sz="6" w:space="0" w:color="auto"/>
              <w:bottom w:val="single" w:sz="6" w:space="0" w:color="auto"/>
              <w:right w:val="single" w:sz="6" w:space="0" w:color="auto"/>
            </w:tcBorders>
            <w:vAlign w:val="center"/>
            <w:hideMark/>
          </w:tcPr>
          <w:p w14:paraId="5665A4D6" w14:textId="77777777" w:rsidR="00805EBC" w:rsidRPr="00805EBC" w:rsidRDefault="00805EBC" w:rsidP="497B2BD0">
            <w:pPr>
              <w:spacing w:after="0" w:line="240" w:lineRule="auto"/>
              <w:jc w:val="center"/>
              <w:textAlignment w:val="baseline"/>
              <w:rPr>
                <w:rFonts w:eastAsia="Times New Roman" w:cstheme="minorBidi"/>
                <w:lang w:eastAsia="pl-PL"/>
              </w:rPr>
            </w:pPr>
            <w:r w:rsidRPr="497B2BD0">
              <w:rPr>
                <w:rFonts w:eastAsia="Times New Roman" w:cstheme="minorBidi"/>
                <w:color w:val="000000" w:themeColor="text1"/>
              </w:rPr>
              <w:t>Lp. </w:t>
            </w:r>
          </w:p>
        </w:tc>
        <w:tc>
          <w:tcPr>
            <w:tcW w:w="3315" w:type="dxa"/>
            <w:tcBorders>
              <w:top w:val="single" w:sz="6" w:space="0" w:color="auto"/>
              <w:left w:val="nil"/>
              <w:bottom w:val="single" w:sz="6" w:space="0" w:color="auto"/>
              <w:right w:val="single" w:sz="6" w:space="0" w:color="auto"/>
            </w:tcBorders>
            <w:vAlign w:val="center"/>
            <w:hideMark/>
          </w:tcPr>
          <w:p w14:paraId="14718248" w14:textId="77777777" w:rsidR="00805EBC" w:rsidRPr="00805EBC" w:rsidRDefault="00805EBC" w:rsidP="497B2BD0">
            <w:pPr>
              <w:spacing w:after="0" w:line="240" w:lineRule="auto"/>
              <w:jc w:val="center"/>
              <w:textAlignment w:val="baseline"/>
              <w:rPr>
                <w:rFonts w:eastAsia="Times New Roman" w:cstheme="minorBidi"/>
                <w:lang w:eastAsia="pl-PL"/>
              </w:rPr>
            </w:pPr>
            <w:r w:rsidRPr="497B2BD0">
              <w:rPr>
                <w:rFonts w:eastAsia="Times New Roman" w:cstheme="minorBidi"/>
                <w:color w:val="000000" w:themeColor="text1"/>
              </w:rPr>
              <w:t>Przedmiot zamówienia </w:t>
            </w:r>
          </w:p>
        </w:tc>
        <w:tc>
          <w:tcPr>
            <w:tcW w:w="2970" w:type="dxa"/>
            <w:tcBorders>
              <w:top w:val="single" w:sz="6" w:space="0" w:color="auto"/>
              <w:left w:val="nil"/>
              <w:bottom w:val="single" w:sz="6" w:space="0" w:color="auto"/>
              <w:right w:val="single" w:sz="6" w:space="0" w:color="auto"/>
            </w:tcBorders>
            <w:vAlign w:val="center"/>
            <w:hideMark/>
          </w:tcPr>
          <w:p w14:paraId="619FC425" w14:textId="77777777" w:rsidR="00805EBC" w:rsidRPr="00805EBC" w:rsidRDefault="00805EBC" w:rsidP="497B2BD0">
            <w:pPr>
              <w:spacing w:after="0" w:line="240" w:lineRule="auto"/>
              <w:jc w:val="center"/>
              <w:textAlignment w:val="baseline"/>
              <w:rPr>
                <w:rFonts w:eastAsia="Times New Roman" w:cstheme="minorBidi"/>
                <w:lang w:eastAsia="pl-PL"/>
              </w:rPr>
            </w:pPr>
            <w:r w:rsidRPr="497B2BD0">
              <w:rPr>
                <w:rFonts w:eastAsia="Times New Roman" w:cstheme="minorBidi"/>
                <w:color w:val="000000" w:themeColor="text1"/>
              </w:rPr>
              <w:t>PN </w:t>
            </w:r>
          </w:p>
        </w:tc>
        <w:tc>
          <w:tcPr>
            <w:tcW w:w="1260" w:type="dxa"/>
            <w:tcBorders>
              <w:top w:val="single" w:sz="6" w:space="0" w:color="auto"/>
              <w:left w:val="nil"/>
              <w:bottom w:val="single" w:sz="6" w:space="0" w:color="auto"/>
              <w:right w:val="single" w:sz="6" w:space="0" w:color="auto"/>
            </w:tcBorders>
            <w:vAlign w:val="center"/>
            <w:hideMark/>
          </w:tcPr>
          <w:p w14:paraId="49349DED" w14:textId="77777777" w:rsidR="00805EBC" w:rsidRPr="00805EBC" w:rsidRDefault="00805EBC" w:rsidP="497B2BD0">
            <w:pPr>
              <w:spacing w:after="0" w:line="240" w:lineRule="auto"/>
              <w:jc w:val="center"/>
              <w:textAlignment w:val="baseline"/>
              <w:rPr>
                <w:rFonts w:eastAsia="Times New Roman" w:cstheme="minorBidi"/>
                <w:lang w:eastAsia="pl-PL"/>
              </w:rPr>
            </w:pPr>
            <w:r w:rsidRPr="497B2BD0">
              <w:rPr>
                <w:rFonts w:eastAsia="Times New Roman" w:cstheme="minorBidi"/>
                <w:color w:val="000000" w:themeColor="text1"/>
              </w:rPr>
              <w:t>Liczba sztuk </w:t>
            </w:r>
          </w:p>
        </w:tc>
      </w:tr>
      <w:tr w:rsidR="00805EBC" w:rsidRPr="00805EBC" w14:paraId="1E60064A" w14:textId="77777777" w:rsidTr="0E3C54E5">
        <w:trPr>
          <w:trHeight w:val="300"/>
        </w:trPr>
        <w:tc>
          <w:tcPr>
            <w:tcW w:w="945" w:type="dxa"/>
            <w:tcBorders>
              <w:top w:val="nil"/>
              <w:left w:val="single" w:sz="6" w:space="0" w:color="auto"/>
              <w:bottom w:val="single" w:sz="6" w:space="0" w:color="auto"/>
              <w:right w:val="single" w:sz="6" w:space="0" w:color="auto"/>
            </w:tcBorders>
            <w:vAlign w:val="center"/>
            <w:hideMark/>
          </w:tcPr>
          <w:p w14:paraId="1F10B3A1" w14:textId="77777777" w:rsidR="00805EBC" w:rsidRPr="00805EBC" w:rsidRDefault="00805EBC" w:rsidP="497B2BD0">
            <w:pPr>
              <w:spacing w:after="0" w:line="240" w:lineRule="auto"/>
              <w:jc w:val="center"/>
              <w:textAlignment w:val="baseline"/>
              <w:rPr>
                <w:rFonts w:eastAsia="Times New Roman" w:cstheme="minorBidi"/>
                <w:lang w:eastAsia="pl-PL"/>
              </w:rPr>
            </w:pPr>
            <w:r w:rsidRPr="497B2BD0">
              <w:rPr>
                <w:rFonts w:eastAsia="Times New Roman" w:cstheme="minorBidi"/>
                <w:color w:val="000000" w:themeColor="text1"/>
              </w:rPr>
              <w:t>1 </w:t>
            </w:r>
          </w:p>
        </w:tc>
        <w:tc>
          <w:tcPr>
            <w:tcW w:w="3315" w:type="dxa"/>
            <w:tcBorders>
              <w:top w:val="nil"/>
              <w:left w:val="nil"/>
              <w:bottom w:val="single" w:sz="6" w:space="0" w:color="auto"/>
              <w:right w:val="single" w:sz="6" w:space="0" w:color="auto"/>
            </w:tcBorders>
            <w:vAlign w:val="center"/>
            <w:hideMark/>
          </w:tcPr>
          <w:p w14:paraId="5EC7E694" w14:textId="77777777" w:rsidR="00805EBC" w:rsidRPr="00805EBC" w:rsidRDefault="00805EBC" w:rsidP="497B2BD0">
            <w:pPr>
              <w:spacing w:after="0" w:line="240" w:lineRule="auto"/>
              <w:jc w:val="center"/>
              <w:textAlignment w:val="baseline"/>
              <w:rPr>
                <w:rFonts w:eastAsia="Times New Roman" w:cstheme="minorBidi"/>
                <w:lang w:eastAsia="pl-PL"/>
              </w:rPr>
            </w:pPr>
            <w:r w:rsidRPr="497B2BD0">
              <w:rPr>
                <w:rFonts w:eastAsia="Times New Roman" w:cstheme="minorBidi"/>
                <w:color w:val="000000" w:themeColor="text1"/>
              </w:rPr>
              <w:t>VMware Cloud Foundation </w:t>
            </w:r>
          </w:p>
        </w:tc>
        <w:tc>
          <w:tcPr>
            <w:tcW w:w="2970" w:type="dxa"/>
            <w:tcBorders>
              <w:top w:val="nil"/>
              <w:left w:val="nil"/>
              <w:bottom w:val="single" w:sz="6" w:space="0" w:color="auto"/>
              <w:right w:val="single" w:sz="6" w:space="0" w:color="auto"/>
            </w:tcBorders>
            <w:vAlign w:val="center"/>
            <w:hideMark/>
          </w:tcPr>
          <w:p w14:paraId="35E5AA5C" w14:textId="77777777" w:rsidR="00805EBC" w:rsidRPr="00805EBC" w:rsidRDefault="00805EBC" w:rsidP="497B2BD0">
            <w:pPr>
              <w:spacing w:after="0" w:line="240" w:lineRule="auto"/>
              <w:jc w:val="center"/>
              <w:textAlignment w:val="baseline"/>
              <w:rPr>
                <w:rFonts w:eastAsia="Times New Roman" w:cstheme="minorBidi"/>
                <w:lang w:eastAsia="pl-PL"/>
              </w:rPr>
            </w:pPr>
            <w:r w:rsidRPr="497B2BD0">
              <w:rPr>
                <w:rFonts w:eastAsia="Times New Roman" w:cstheme="minorBidi"/>
                <w:color w:val="000000" w:themeColor="text1"/>
              </w:rPr>
              <w:t> VCF-CLD-FND </w:t>
            </w:r>
          </w:p>
        </w:tc>
        <w:tc>
          <w:tcPr>
            <w:tcW w:w="1260" w:type="dxa"/>
            <w:tcBorders>
              <w:top w:val="nil"/>
              <w:left w:val="nil"/>
              <w:bottom w:val="single" w:sz="6" w:space="0" w:color="auto"/>
              <w:right w:val="single" w:sz="6" w:space="0" w:color="auto"/>
            </w:tcBorders>
            <w:vAlign w:val="center"/>
            <w:hideMark/>
          </w:tcPr>
          <w:p w14:paraId="46C56928" w14:textId="77777777" w:rsidR="00805EBC" w:rsidRPr="00805EBC" w:rsidRDefault="00805EBC" w:rsidP="497B2BD0">
            <w:pPr>
              <w:spacing w:after="0" w:line="240" w:lineRule="auto"/>
              <w:jc w:val="center"/>
              <w:textAlignment w:val="baseline"/>
              <w:rPr>
                <w:rFonts w:eastAsia="Times New Roman" w:cstheme="minorBidi"/>
                <w:lang w:eastAsia="pl-PL"/>
              </w:rPr>
            </w:pPr>
            <w:r w:rsidRPr="0E3C54E5">
              <w:rPr>
                <w:rFonts w:eastAsia="Times New Roman" w:cstheme="minorBidi"/>
                <w:color w:val="000000" w:themeColor="text1"/>
              </w:rPr>
              <w:t>640 </w:t>
            </w:r>
          </w:p>
        </w:tc>
      </w:tr>
    </w:tbl>
    <w:p w14:paraId="4A0170C5" w14:textId="37C03B6D" w:rsidR="00867E15" w:rsidRPr="00805EBC" w:rsidRDefault="00805EBC" w:rsidP="001357DA">
      <w:pPr>
        <w:spacing w:after="0" w:line="240" w:lineRule="auto"/>
        <w:textAlignment w:val="baseline"/>
        <w:rPr>
          <w:rFonts w:eastAsia="Times New Roman" w:cstheme="minorBidi"/>
          <w:lang w:eastAsia="pl-PL"/>
        </w:rPr>
      </w:pPr>
      <w:r w:rsidRPr="497B2BD0">
        <w:rPr>
          <w:rFonts w:eastAsia="Times New Roman" w:cstheme="minorBidi"/>
        </w:rPr>
        <w:t> </w:t>
      </w:r>
    </w:p>
    <w:p w14:paraId="01A78F6C" w14:textId="466952FB" w:rsidR="001357DA" w:rsidRPr="004027D0" w:rsidRDefault="00805EBC" w:rsidP="004027D0">
      <w:pPr>
        <w:spacing w:after="0" w:line="240" w:lineRule="auto"/>
        <w:ind w:left="360"/>
        <w:textAlignment w:val="baseline"/>
        <w:rPr>
          <w:rFonts w:eastAsia="Times New Roman" w:cstheme="minorBidi"/>
          <w:lang w:eastAsia="pl-PL"/>
        </w:rPr>
      </w:pPr>
      <w:r w:rsidRPr="497B2BD0">
        <w:rPr>
          <w:rFonts w:eastAsia="Times New Roman" w:cstheme="minorBidi"/>
        </w:rPr>
        <w:t> </w:t>
      </w:r>
    </w:p>
    <w:p w14:paraId="63C77F2A" w14:textId="34E24B49" w:rsidR="00805EBC" w:rsidRPr="003D6738" w:rsidRDefault="00805EBC" w:rsidP="004027D0">
      <w:pPr>
        <w:pStyle w:val="Akapitzlist"/>
        <w:numPr>
          <w:ilvl w:val="1"/>
          <w:numId w:val="7"/>
        </w:numPr>
        <w:spacing w:after="0" w:line="276" w:lineRule="auto"/>
        <w:contextualSpacing/>
        <w:rPr>
          <w:rFonts w:eastAsia="Times New Roman" w:cstheme="minorBidi"/>
          <w:lang w:val="pl-PL" w:eastAsia="pl-PL"/>
        </w:rPr>
      </w:pPr>
      <w:r w:rsidRPr="0E3C54E5">
        <w:rPr>
          <w:rFonts w:eastAsia="Times New Roman" w:cstheme="minorBidi"/>
          <w:b/>
          <w:bCs/>
          <w:u w:val="single"/>
        </w:rPr>
        <w:t xml:space="preserve"> Równoważność</w:t>
      </w:r>
      <w:r w:rsidRPr="0E3C54E5">
        <w:rPr>
          <w:rFonts w:eastAsia="Times New Roman" w:cstheme="minorBidi"/>
        </w:rPr>
        <w:t> </w:t>
      </w:r>
    </w:p>
    <w:p w14:paraId="776663D1" w14:textId="496526B7" w:rsidR="00805EBC" w:rsidRPr="003D6738" w:rsidRDefault="00D12F89"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Zamawiający</w:t>
      </w:r>
      <w:r w:rsidR="00805EBC" w:rsidRPr="004A4523">
        <w:rPr>
          <w:rFonts w:eastAsia="Times New Roman" w:cstheme="minorBidi"/>
          <w:color w:val="000000" w:themeColor="text1"/>
          <w:lang w:val="pl-PL"/>
        </w:rPr>
        <w:t> dopuszcza zaoferowanie licencji równoważnych. Wymagania równoważności zostały przedstawione w punkcie </w:t>
      </w:r>
      <w:r w:rsidR="00647419" w:rsidRPr="004A4523">
        <w:rPr>
          <w:rFonts w:eastAsia="Times New Roman" w:cstheme="minorBidi"/>
          <w:color w:val="000000" w:themeColor="text1"/>
          <w:lang w:val="pl-PL"/>
        </w:rPr>
        <w:t>4.4</w:t>
      </w:r>
      <w:r w:rsidR="00805EBC" w:rsidRPr="004A4523">
        <w:rPr>
          <w:rFonts w:eastAsia="Times New Roman" w:cstheme="minorBidi"/>
          <w:color w:val="000000" w:themeColor="text1"/>
          <w:lang w:val="pl-PL"/>
        </w:rPr>
        <w:t>. </w:t>
      </w:r>
    </w:p>
    <w:p w14:paraId="2E1048E8" w14:textId="1FFFDFD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Zaoferowanie produktu równoważnego oznacza wykonanie na własny koszt migracji wszystkich systemów wirtualnych na oferowane przez Wykonawcę oprogramowanie wirtualizacyjne. </w:t>
      </w:r>
    </w:p>
    <w:p w14:paraId="41C9A90C" w14:textId="71EC1D8E"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Wykonawca oferujący oprogramowanie równoważne zintegruje zaoferowane oprogramowanie z posiadanymi przez Zamawiającego systemami kopii zapasowych Data Protector, Commvault i Veeam, kopie zapasowe systemów realizowane są za pomocą snapshot-ów. </w:t>
      </w:r>
    </w:p>
    <w:p w14:paraId="7067171C" w14:textId="59FCAA3C"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497B2BD0">
        <w:rPr>
          <w:rFonts w:eastAsia="Times New Roman" w:cstheme="minorBidi"/>
          <w:color w:val="000000" w:themeColor="text1"/>
        </w:rPr>
        <w:t>Działania przewidziane w pkt 4</w:t>
      </w:r>
      <w:r w:rsidR="00647419" w:rsidRPr="497B2BD0">
        <w:rPr>
          <w:rFonts w:eastAsia="Times New Roman" w:cstheme="minorBidi"/>
          <w:color w:val="000000" w:themeColor="text1"/>
        </w:rPr>
        <w:t>.3</w:t>
      </w:r>
      <w:r w:rsidRPr="497B2BD0">
        <w:rPr>
          <w:rFonts w:eastAsia="Times New Roman" w:cstheme="minorBidi"/>
          <w:color w:val="000000" w:themeColor="text1"/>
        </w:rPr>
        <w:t>: </w:t>
      </w:r>
    </w:p>
    <w:p w14:paraId="3DEE80A3" w14:textId="679C24B8" w:rsid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są objęte wynagrodzeniem z Umowy i Wykonawcy nie przysługuje jakiekolwiek dodatkowe wynagrodzenie lub zwrot kosztów z tego tytułu, </w:t>
      </w:r>
    </w:p>
    <w:p w14:paraId="01C9C39C" w14:textId="72FD1016" w:rsidR="00805EBC" w:rsidRPr="00647419"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zostaną zrealizowane z zachowaniem ciągłości działania systemów Zamawiającego</w:t>
      </w:r>
      <w:r w:rsidR="00647419" w:rsidRPr="004A4523">
        <w:rPr>
          <w:rFonts w:eastAsia="Times New Roman" w:cstheme="minorBidi"/>
          <w:color w:val="000000" w:themeColor="text1"/>
          <w:lang w:val="pl-PL"/>
        </w:rPr>
        <w:t>.</w:t>
      </w:r>
    </w:p>
    <w:p w14:paraId="3461FBB5" w14:textId="01DF9526" w:rsidR="00805EBC" w:rsidRPr="00647419"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Wykonawca ponosi odpowiedzialność za prawidłową realizację tych działań na zasadach przewidzianych w Umowie. </w:t>
      </w:r>
    </w:p>
    <w:p w14:paraId="58AE4620" w14:textId="4A7ED49E" w:rsidR="0E3C54E5" w:rsidRDefault="00805EBC" w:rsidP="001357DA">
      <w:pPr>
        <w:spacing w:after="0" w:line="240" w:lineRule="auto"/>
        <w:ind w:left="720"/>
        <w:textAlignment w:val="baseline"/>
        <w:rPr>
          <w:rFonts w:eastAsia="Times New Roman" w:cstheme="minorBidi"/>
          <w:lang w:eastAsia="pl-PL"/>
        </w:rPr>
      </w:pPr>
      <w:r w:rsidRPr="497B2BD0">
        <w:rPr>
          <w:rFonts w:eastAsia="Times New Roman" w:cstheme="minorBidi"/>
        </w:rPr>
        <w:t> </w:t>
      </w:r>
    </w:p>
    <w:p w14:paraId="6DD5F36F" w14:textId="6B198F34" w:rsidR="0E3C54E5" w:rsidRDefault="0E3C54E5" w:rsidP="0E3C54E5">
      <w:pPr>
        <w:spacing w:after="0" w:line="240" w:lineRule="auto"/>
        <w:ind w:left="360"/>
        <w:rPr>
          <w:rFonts w:eastAsia="Times New Roman" w:cstheme="minorBidi"/>
        </w:rPr>
      </w:pPr>
    </w:p>
    <w:p w14:paraId="7EFC075F" w14:textId="1D0D02DA" w:rsidR="00805EBC" w:rsidRPr="00805EBC" w:rsidRDefault="00805EBC" w:rsidP="004027D0">
      <w:pPr>
        <w:pStyle w:val="Akapitzlist"/>
        <w:numPr>
          <w:ilvl w:val="1"/>
          <w:numId w:val="7"/>
        </w:numPr>
        <w:spacing w:after="0" w:line="276" w:lineRule="auto"/>
        <w:contextualSpacing/>
        <w:rPr>
          <w:rFonts w:eastAsia="Times New Roman" w:cstheme="minorBidi"/>
          <w:lang w:val="pl-PL" w:eastAsia="pl-PL"/>
        </w:rPr>
      </w:pPr>
      <w:r w:rsidRPr="004A4523">
        <w:rPr>
          <w:rFonts w:eastAsia="Times New Roman" w:cstheme="minorBidi"/>
          <w:b/>
          <w:bCs/>
          <w:u w:val="single"/>
          <w:lang w:val="pl-PL"/>
        </w:rPr>
        <w:t xml:space="preserve"> </w:t>
      </w:r>
      <w:r w:rsidRPr="497B2BD0">
        <w:rPr>
          <w:rFonts w:eastAsia="Times New Roman" w:cstheme="minorBidi"/>
          <w:b/>
          <w:bCs/>
          <w:u w:val="single"/>
        </w:rPr>
        <w:t>Wsparcie</w:t>
      </w:r>
      <w:r w:rsidRPr="497B2BD0">
        <w:rPr>
          <w:rFonts w:eastAsia="Times New Roman" w:cstheme="minorBidi"/>
        </w:rPr>
        <w:t> </w:t>
      </w:r>
    </w:p>
    <w:p w14:paraId="25B3B5CF" w14:textId="03992DEF"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Usługa wsparcia musi umożliwiać zgłaszanie problemów 7 dni w tygodniu bez ograniczeń czasowych (7/24). </w:t>
      </w:r>
    </w:p>
    <w:p w14:paraId="7A52880F" w14:textId="780C8140" w:rsidR="00805EBC" w:rsidRPr="00805EBC" w:rsidRDefault="00805EBC" w:rsidP="497B2BD0">
      <w:pPr>
        <w:pStyle w:val="Akapitzlist"/>
        <w:spacing w:after="0" w:line="240" w:lineRule="auto"/>
        <w:textAlignment w:val="baseline"/>
        <w:rPr>
          <w:rFonts w:eastAsia="Times New Roman" w:cstheme="minorBidi"/>
          <w:lang w:val="pl-PL" w:eastAsia="pl-PL"/>
        </w:rPr>
      </w:pPr>
      <w:r w:rsidRPr="497B2BD0">
        <w:rPr>
          <w:rFonts w:eastAsia="Times New Roman" w:cstheme="minorBidi"/>
        </w:rPr>
        <w:t>Usługa musi zapewnić:  </w:t>
      </w:r>
    </w:p>
    <w:p w14:paraId="4B3A9AB0" w14:textId="35743C1C" w:rsidR="00805EBC" w:rsidRDefault="00805EBC" w:rsidP="497B2BD0">
      <w:pPr>
        <w:pStyle w:val="Akapitzlist"/>
        <w:spacing w:after="0" w:line="240" w:lineRule="auto"/>
        <w:textAlignment w:val="baseline"/>
        <w:rPr>
          <w:rFonts w:eastAsia="Times New Roman" w:cstheme="minorBidi"/>
          <w:lang w:val="pl-PL" w:eastAsia="pl-PL"/>
        </w:rPr>
      </w:pPr>
      <w:r w:rsidRPr="497B2BD0">
        <w:rPr>
          <w:rFonts w:eastAsia="Times New Roman" w:cstheme="minorBidi"/>
        </w:rPr>
        <w:t>Nieograniczoną liczbę zgłoszeń serwisowych. </w:t>
      </w:r>
    </w:p>
    <w:p w14:paraId="224D39DD" w14:textId="32290D64"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Dostęp do materiałów producenta takich jak: dokumentacja techniczna, internetowa baza wiedzy, forum internetowe producenta Oprogramowania. </w:t>
      </w:r>
    </w:p>
    <w:p w14:paraId="07B1AAA8" w14:textId="79DF1517"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lastRenderedPageBreak/>
        <w:t>Gwarancję poufności w zarządzaniu przekazanymi informacjami (usługa świadczona bez możliwości i wymogu przesyłania logów oraz informacji o zgłoszeniach serwisowych poza system procesowania zgłoszeń zarządzany i administrowany przez producenta Oprogramowania). </w:t>
      </w:r>
    </w:p>
    <w:p w14:paraId="45EC9A91" w14:textId="38939378"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Dostęp do poprawek i uaktualnień Oprogramowania objętego usługą wsparcia, </w:t>
      </w:r>
    </w:p>
    <w:p w14:paraId="20F2749C" w14:textId="73D018E6"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 xml:space="preserve"> Dostęp do portalu www producenta Oprogramowania umożliwiającego zarządzanie posiadanymi licencjami, założenie zgłoszenia awarii u producenta, podniesienie lub obniżenie (jeśli producent oficjalnie wspiera poprzednie wersje) wersji Oprogramowania. </w:t>
      </w:r>
    </w:p>
    <w:p w14:paraId="10704689" w14:textId="4CDC0D49"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Dostęp do rejestru licencji (dostępnego przez portal www producenta Oprogramowania). </w:t>
      </w:r>
    </w:p>
    <w:p w14:paraId="3E4EC2A5" w14:textId="38D813DF"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Dostęp do narzędzia Producenta pozwalającego na automatyczne zbieranie danych o statusie i działaniu produktów objętych usługą wsparcia. </w:t>
      </w:r>
    </w:p>
    <w:p w14:paraId="6E8E1BB7" w14:textId="41C723EF"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Wykonawca potwierdzi rozpoczęcie świadczenia Usługi Asysty Technicznej poprzez dostarczenie Zamawiającemu potwierdzenia przedłużenia Usługi Asysty zgodnej z Umową. </w:t>
      </w:r>
    </w:p>
    <w:p w14:paraId="5CCA2B46" w14:textId="77777777" w:rsidR="00805EBC" w:rsidRPr="00805EBC" w:rsidRDefault="00805EBC" w:rsidP="497B2BD0">
      <w:pPr>
        <w:spacing w:after="0" w:line="240" w:lineRule="auto"/>
        <w:textAlignment w:val="baseline"/>
        <w:rPr>
          <w:rFonts w:eastAsia="Times New Roman" w:cstheme="minorBidi"/>
          <w:lang w:eastAsia="pl-PL"/>
        </w:rPr>
      </w:pPr>
      <w:r w:rsidRPr="497B2BD0">
        <w:rPr>
          <w:rFonts w:eastAsia="Times New Roman" w:cstheme="minorBidi"/>
        </w:rPr>
        <w:t> </w:t>
      </w:r>
    </w:p>
    <w:p w14:paraId="52EAF691" w14:textId="2B3EA8E0" w:rsidR="00805EBC" w:rsidRPr="00805EBC" w:rsidRDefault="00805EBC" w:rsidP="004027D0">
      <w:pPr>
        <w:pStyle w:val="Akapitzlist"/>
        <w:numPr>
          <w:ilvl w:val="1"/>
          <w:numId w:val="7"/>
        </w:numPr>
        <w:spacing w:after="0" w:line="276" w:lineRule="auto"/>
        <w:contextualSpacing/>
        <w:rPr>
          <w:rFonts w:eastAsia="Times New Roman" w:cstheme="minorBidi"/>
          <w:lang w:val="pl-PL" w:eastAsia="pl-PL"/>
        </w:rPr>
      </w:pPr>
      <w:r w:rsidRPr="497B2BD0">
        <w:rPr>
          <w:rFonts w:eastAsia="Times New Roman" w:cstheme="minorBidi"/>
          <w:b/>
          <w:bCs/>
          <w:u w:val="single"/>
        </w:rPr>
        <w:t>Opis równoważności</w:t>
      </w:r>
      <w:r w:rsidRPr="497B2BD0">
        <w:rPr>
          <w:rFonts w:eastAsia="Times New Roman" w:cstheme="minorBidi"/>
        </w:rPr>
        <w:t> </w:t>
      </w:r>
    </w:p>
    <w:p w14:paraId="1B020639" w14:textId="77777777" w:rsidR="00805EBC" w:rsidRPr="00805EBC" w:rsidRDefault="00805EBC" w:rsidP="497B2BD0">
      <w:pPr>
        <w:spacing w:after="0" w:line="240" w:lineRule="auto"/>
        <w:textAlignment w:val="baseline"/>
        <w:rPr>
          <w:rFonts w:eastAsia="Times New Roman" w:cstheme="minorBidi"/>
          <w:lang w:eastAsia="pl-PL"/>
        </w:rPr>
      </w:pPr>
      <w:r w:rsidRPr="497B2BD0">
        <w:rPr>
          <w:rFonts w:eastAsia="Times New Roman" w:cstheme="minorBidi"/>
          <w:color w:val="000000" w:themeColor="text1"/>
        </w:rPr>
        <w:t> </w:t>
      </w:r>
    </w:p>
    <w:p w14:paraId="37B5819D" w14:textId="77777777"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Licencje zaoferowanego oprogramowania muszą być zaoferowane w formie „per core” lub „per CPU” fizyczny procesora fizycznego, wyłączając komponent do wirtualizacji przestrzeni dyskowych. </w:t>
      </w:r>
    </w:p>
    <w:p w14:paraId="4355CFAA" w14:textId="77777777" w:rsidR="00647419"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 xml:space="preserve">Wszystkie wymagane poniżej komponenty/moduły muszą pochodzić od jednego producenta oprogramowania. </w:t>
      </w:r>
    </w:p>
    <w:p w14:paraId="493A33C2" w14:textId="2193EF73"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lang w:val="pl-PL"/>
        </w:rPr>
        <w:t>Na cały zaoferowany pakiet oprogramowania do budowania chmury prywatnej muszą składać się komponenty: </w:t>
      </w:r>
    </w:p>
    <w:p w14:paraId="58E07D81" w14:textId="77777777" w:rsidR="00805EBC" w:rsidRPr="00647419" w:rsidRDefault="00805EBC" w:rsidP="497B2BD0">
      <w:pPr>
        <w:pStyle w:val="Akapitzlist"/>
        <w:spacing w:after="0" w:line="240" w:lineRule="auto"/>
        <w:textAlignment w:val="baseline"/>
        <w:rPr>
          <w:rFonts w:eastAsia="Times New Roman" w:cstheme="minorBidi"/>
          <w:lang w:val="pl-PL" w:eastAsia="pl-PL"/>
        </w:rPr>
      </w:pPr>
      <w:r w:rsidRPr="497B2BD0">
        <w:rPr>
          <w:rFonts w:eastAsia="Times New Roman" w:cstheme="minorBidi"/>
          <w:color w:val="000000" w:themeColor="text1"/>
        </w:rPr>
        <w:t>Do wirtualizacji mocy obliczeniowej </w:t>
      </w:r>
    </w:p>
    <w:p w14:paraId="373BAA83" w14:textId="77777777" w:rsidR="00805EBC" w:rsidRPr="00647419" w:rsidRDefault="00805EBC" w:rsidP="497B2BD0">
      <w:pPr>
        <w:pStyle w:val="Akapitzlist"/>
        <w:spacing w:after="0" w:line="240" w:lineRule="auto"/>
        <w:textAlignment w:val="baseline"/>
        <w:rPr>
          <w:rFonts w:eastAsia="Times New Roman" w:cstheme="minorBidi"/>
          <w:lang w:val="pl-PL" w:eastAsia="pl-PL"/>
        </w:rPr>
      </w:pPr>
      <w:r w:rsidRPr="497B2BD0">
        <w:rPr>
          <w:rFonts w:eastAsia="Times New Roman" w:cstheme="minorBidi"/>
          <w:color w:val="000000" w:themeColor="text1"/>
        </w:rPr>
        <w:t>Do zarządzania klastrami wirtualizacyjnymi </w:t>
      </w:r>
    </w:p>
    <w:p w14:paraId="0709259B" w14:textId="77777777" w:rsidR="00805EBC" w:rsidRPr="00647419"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Do instalacji i zarządzania komponentami chmury prywatnej </w:t>
      </w:r>
    </w:p>
    <w:p w14:paraId="04F45FC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497B2BD0">
        <w:rPr>
          <w:rFonts w:eastAsia="Times New Roman" w:cstheme="minorBidi"/>
          <w:color w:val="000000" w:themeColor="text1"/>
        </w:rPr>
        <w:t>Do monitorowania </w:t>
      </w:r>
    </w:p>
    <w:p w14:paraId="2E0A750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497B2BD0">
        <w:rPr>
          <w:rFonts w:eastAsia="Times New Roman" w:cstheme="minorBidi"/>
          <w:color w:val="000000" w:themeColor="text1"/>
        </w:rPr>
        <w:t>Do automatyzacji </w:t>
      </w:r>
    </w:p>
    <w:p w14:paraId="6237BE4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497B2BD0">
        <w:rPr>
          <w:rFonts w:eastAsia="Times New Roman" w:cstheme="minorBidi"/>
          <w:color w:val="000000" w:themeColor="text1"/>
        </w:rPr>
        <w:t>Do logowania </w:t>
      </w:r>
    </w:p>
    <w:p w14:paraId="0F8B302A"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497B2BD0">
        <w:rPr>
          <w:rFonts w:eastAsia="Times New Roman" w:cstheme="minorBidi"/>
          <w:color w:val="000000" w:themeColor="text1"/>
        </w:rPr>
        <w:t>Do tworzenia platformy konteneryzacyjnej </w:t>
      </w:r>
    </w:p>
    <w:p w14:paraId="69C37F9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497B2BD0">
        <w:rPr>
          <w:rFonts w:eastAsia="Times New Roman" w:cstheme="minorBidi"/>
          <w:color w:val="000000" w:themeColor="text1"/>
        </w:rPr>
        <w:t>Do tworzenia sieci wirtualnych </w:t>
      </w:r>
    </w:p>
    <w:p w14:paraId="0C02B6E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Do monitorowania sieci wirtualnych i fizycznych </w:t>
      </w:r>
    </w:p>
    <w:p w14:paraId="5F2E5BE1"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497B2BD0">
        <w:rPr>
          <w:rFonts w:eastAsia="Times New Roman" w:cstheme="minorBidi"/>
          <w:color w:val="000000" w:themeColor="text1"/>
        </w:rPr>
        <w:t>Do wirtualizacji przestrzeni dyskowych </w:t>
      </w:r>
    </w:p>
    <w:p w14:paraId="1087C2E6"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lang w:val="pl-PL"/>
        </w:rPr>
        <w:t>W zakresie wirtualizacji mocy obliczeniowej Zamawiający wymaga:</w:t>
      </w:r>
      <w:r w:rsidRPr="004A4523">
        <w:rPr>
          <w:rFonts w:eastAsia="Times New Roman" w:cstheme="minorBidi"/>
          <w:lang w:val="pl-PL"/>
        </w:rPr>
        <w:t> </w:t>
      </w:r>
    </w:p>
    <w:p w14:paraId="434CA435"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Zaoferowane oprogramowanie musi być instalowane bezpośrednio na sprzęcie fizycznym i nie może być ono częścią innego systemu operacyjnego  </w:t>
      </w:r>
    </w:p>
    <w:p w14:paraId="6E44570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 zaoferowanym oprogramowaniu warstwa wirtualizacji nie może dla własnych celów alokować więcej niż 700MB pamięci operacyjnej RAM serwera fizycznego  </w:t>
      </w:r>
    </w:p>
    <w:p w14:paraId="4ECA7B5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zainstalowane na serwerze fizycznym musi potrafić obsłużyć i wykorzystać procesory fizyczne tego serwera wyposażone w 768 logicznych wątków, 24TB pamięci fizycznej RAM tego serwera oraz 16 procesorów fizycznych tego serwera </w:t>
      </w:r>
    </w:p>
    <w:p w14:paraId="48EB42A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do wirtualizacji musi zapewnić możliwość skonfigurowania maszyn wirtualnych z ilością od 1 do 768 procesorów wirtualnych </w:t>
      </w:r>
    </w:p>
    <w:p w14:paraId="0469C0E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zapewnić możliwość skonfigurowania maszyn wirtualnych z możliwością przydzielenia do 24 TB pamięci operacyjnej RAM  </w:t>
      </w:r>
    </w:p>
    <w:p w14:paraId="681A913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zapewnić możliwość skonfigurowania maszyn wirtualnych z możliwością przydzielenia od 1 do 10 wirtualnych kart sieciowych dla każdej z nich. Dodatkowo, oprogramowanie musi posiadać możliwość utworzenia maszyny wirtualnej bez przydzielonej wirtualnej karty sieciowej. </w:t>
      </w:r>
    </w:p>
    <w:p w14:paraId="5E4204B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zapewnić możliwość skonfigurowania maszyn wirtualnych, z których każda może mieć 32 porty szeregowe, 3 porty równoległe i 20 urządzeń USB  </w:t>
      </w:r>
    </w:p>
    <w:p w14:paraId="25BC6FA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wspierać minimum następujące systemy operacyjne: Windows Server 2012/2016/2019/2022, Windows 8/10/11, RHEL 6/7/8/9, SLES 12/15, Debian 10/11, CentOS 7/8, Ubuntu 16/18/20/22, Photon OS 2/3/4, Oracle Linux 6/7/8/9, FreeBSD 12/13Windows Server 2016/2019/2022/2025, Windows 8/10/11, RHEL 6/7/8/9/10, SLES 12/15, Debian 10/11/12, CentOS 6/7/8, Ubuntu 16/18/20/22/23/24/25, Photon OS 3/4/5, Oracle Linux 5/6/7/8/9, FreeBSD 11/12/13/14. </w:t>
      </w:r>
    </w:p>
    <w:p w14:paraId="4913F47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 celu osiągnięcia maksymalnego współczynnika konsolidacji, zaoferowane oprogramowanie musi umożliwiać przydzielenie łącznie większej ilości pamięci RAM dla maszyn wirtualnych niż fizyczne zasoby RAM serwera, na którym maszyny te są posadowione  </w:t>
      </w:r>
    </w:p>
    <w:p w14:paraId="1D9760A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Rozwiązanie musi umożliwiać udostępnienie maszynie wirtualnej większej ilości zasobów dyskowych niż jest fizycznie dostępne na zasobach dyskowych  </w:t>
      </w:r>
    </w:p>
    <w:p w14:paraId="536419E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zapewnić możliwość powielania maszyn wirtualnych wraz z ich pełną konfiguracją i danymi  </w:t>
      </w:r>
    </w:p>
    <w:p w14:paraId="4242529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zapewnić możliwość wykonywania kopii migawkowych instancji systemów operacyjnych na potrzeby tworzenia kopii zapasowych bez przerywania ich pracy z możliwością konieczności zachowania stanu pamięci pracującej maszyny wirtualnej.  </w:t>
      </w:r>
    </w:p>
    <w:p w14:paraId="0568248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Konsola zarządzająca zaoferowanego oprogramowania musi posiadać możliwość przydzielania i konfiguracji uprawnień z możliwością integracji z usługami katalogowymi, minimalnie z: Microsoft Active Directory i Open LDAP oraz umożliwiać federacyjne zarządzanie tożsamością w oparciu o Microsoft Active Directory Federation Services (ADFS). </w:t>
      </w:r>
    </w:p>
    <w:p w14:paraId="074D500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dodawania zasobów w czasie pracy maszyny wirtualnej, w szczególności w zakresie ilości procesorów, pamięci operacyjnej i przestrzeni dyskowej  </w:t>
      </w:r>
    </w:p>
    <w:p w14:paraId="3C046E0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funkcjonalność tworzenia wirtualnego przełącznika (virtual switch) umożliwiającego tworzenie sieci wirtualnej w obszarze hosta (hypervisora wirtualizacyjnego) i pozwalającego połączyć tym przełącznikiem maszyny wirtualne w obszarze jednego hosta, a także na zewnątrz sieci fizycznej. </w:t>
      </w:r>
      <w:r w:rsidRPr="497B2BD0">
        <w:rPr>
          <w:rFonts w:eastAsia="Times New Roman" w:cstheme="minorBidi"/>
          <w:color w:val="000000" w:themeColor="text1"/>
        </w:rPr>
        <w:t>Pojedynczy przełącznik wirtualny powinien mieć możliwość konfiguracji aż do 4096 portów </w:t>
      </w:r>
    </w:p>
    <w:p w14:paraId="10FE70B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Pojedynczy wirtualny przełącznik w zaoferowanym oprogramowaniu, w celu zapewnienia bezpieczeństwa połączenia ethernetowego w razie awarii fizycznej karty sieciowej, musi posiadać możliwość przyłączania do niego minimum dwóch fizycznych kart sieciowych  </w:t>
      </w:r>
    </w:p>
    <w:p w14:paraId="0C37ED3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Wirtualne przełączniki w zaoferowane oprogramowaniu muszą posiadać funkcjonalność obsługi wirtualnych sieci lokalnych (VLAN)  </w:t>
      </w:r>
    </w:p>
    <w:p w14:paraId="5893EF5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wykorzystanie technologii przepustowości sieci komputerowych do 200GbE poprzez agregację połączeń fizycznych do minimalizacji czasu przenoszenia maszyny wirtualnej pomiędzy serwerami fizycznymi  </w:t>
      </w:r>
    </w:p>
    <w:p w14:paraId="3E516AF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obsługiwać przełączenie ścieżek LAN (bez utraty komunikacji) w przypadku awarii jednej ze ścieżek  </w:t>
      </w:r>
    </w:p>
    <w:p w14:paraId="5482675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zapewnić możliwość zdefiniowania alertów informujących o przekroczeniu wartości progowych </w:t>
      </w:r>
    </w:p>
    <w:p w14:paraId="29C26E7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replikacji maszyn wirtualnych z dowolnej pamięci masowej w tym z dysków wewnętrznych serwerów fizycznych na dowolną pamięć masową w tym samym lub oddalonym ośrodku przetwarzania. Replikacja musi gwarantować współczynnik RPO (ang. Recovery Point Objective) na poziomie minimum 5 minut  </w:t>
      </w:r>
    </w:p>
    <w:p w14:paraId="23155FA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obsługiwać przełączenie ścieżek SAN (bez utraty komunikacji) w przypadku awarii jednej ze ścieżek  </w:t>
      </w:r>
    </w:p>
    <w:p w14:paraId="0602F33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przenoszenia maszyn wirtualnych pomiędzy serwerami fizycznymi bez przerywania pracy usług na przenoszonych maszynach wirtualnych. Wymaga się wsparcia natywnego szyfrowania ruchu sieciowego dla maszyn wirtualnych podczas ich przenoszenia między serwerami fizycznymi </w:t>
      </w:r>
    </w:p>
    <w:p w14:paraId="3A3865C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w środowisku z więcej niż pojedynczym wirtualizatorem, musi umożliwiać automatyczne, ponowne uruchomienie maszyn wirtualnych w przypadku awarii jednego z wirtualizatorów na kolejnym, działającym w tym samym klastrze wirtualizatorze (funkcjonalność HA) (ang. high availability) </w:t>
      </w:r>
    </w:p>
    <w:p w14:paraId="20A49DD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w środowisku z minimalnie dwoma wirtualizatorami oraz w przypadku potrzeby wgrania aktualizacji do warstwy wirtualizacji, musi posiadać możliwość w przypadku wywołania startu aktualizacji, automatycznego przeniesienia bezprzerwowego działających maszyn wirtualnych do innego wirtualizatora nie objętego aktualizacją, przed rozpoczęciem samej aktualizacji </w:t>
      </w:r>
    </w:p>
    <w:p w14:paraId="66481D3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co najmniej 2 niezależne mechanizmy wzajemnej komunikacji między serwerami z zainstalowanym wirtualizatorem oraz z serwerem zarządzającym, gwarantujące właściwe działanie mechanizmów wysokiej dostępności na wypadek izolacji sieciowej serwerów fizycznych lub partycjonowania sieci  </w:t>
      </w:r>
    </w:p>
    <w:p w14:paraId="7794C3B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w środowisku z minimum dwoma wirtualizatorami, musi zapewniać pracę bez przestojów dla wybranych maszyn wirtualnych (o maksymalnie dwóch procesorach wirtualnych), niezależnie od systemu operacyjnego oraz aplikacji, podczas awarii wirtualizatora, bez utraty danych i dostępności danych na maszynach wirtualnych objętych ochroną </w:t>
      </w:r>
    </w:p>
    <w:p w14:paraId="1B0A387D" w14:textId="368D09CF"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posiadać wbudowany interfejs programistyczny (API) zapewniający pełną integrację zewnętrznych rozwiązań wykonywania kopii zapasowych z istniejącymi mechanizmami warstwy wirtualizacyjnej  </w:t>
      </w:r>
    </w:p>
    <w:p w14:paraId="7225C93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Producent zaoferowanego oprogramowania do wirtualizacji musi wspierać rozwiązania do automatyzacji procesów oraz wirtualizacji sieci (SDN, ang. software defined network).  </w:t>
      </w:r>
    </w:p>
    <w:p w14:paraId="2EA4E02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wspierać mechanizmy zaawansowanego uwierzytelniania do systemu operacyjnego wirtualnej maszyny za pomocą technologii Smart Card Reader  </w:t>
      </w:r>
    </w:p>
    <w:p w14:paraId="06371EC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wspierać TPM 2.0. </w:t>
      </w:r>
      <w:r w:rsidRPr="001357DA">
        <w:rPr>
          <w:rFonts w:eastAsia="Times New Roman" w:cstheme="minorBidi"/>
          <w:color w:val="000000" w:themeColor="text1"/>
          <w:lang w:val="pl-PL"/>
        </w:rPr>
        <w:t xml:space="preserve">Minimalne wymaganie Zamawiającego dla TPM oznacza, że TPM zapewnia mechanizm gwarantujący, że serwer fizyczny, na którym zainstalowane jest zaoferowane oprogramowanie, uruchomił się z włączoną opcją Secure Boot. </w:t>
      </w:r>
      <w:r w:rsidRPr="004A4523">
        <w:rPr>
          <w:rFonts w:eastAsia="Times New Roman" w:cstheme="minorBidi"/>
          <w:color w:val="000000" w:themeColor="text1"/>
          <w:lang w:val="pl-PL"/>
        </w:rPr>
        <w:t>Po potwierdzeniu, że Secure Boot jest włączone, system gwarantuje, poprzez weryfikację podpisu cyfrowego, że hypervisor uruchomił się w niezmienionej formie   </w:t>
      </w:r>
    </w:p>
    <w:p w14:paraId="0BA50C32" w14:textId="5B6E7799" w:rsidR="00805EBC" w:rsidRPr="00805EBC" w:rsidRDefault="00805EBC" w:rsidP="0E3C54E5">
      <w:pPr>
        <w:pStyle w:val="Akapitzlist"/>
        <w:spacing w:after="0" w:line="240" w:lineRule="auto"/>
        <w:textAlignment w:val="baseline"/>
        <w:rPr>
          <w:rFonts w:eastAsia="Times New Roman" w:cstheme="minorBidi"/>
          <w:color w:val="000000"/>
          <w:lang w:val="pl-PL" w:eastAsia="pl-PL"/>
        </w:rPr>
      </w:pPr>
      <w:r w:rsidRPr="0E3C54E5">
        <w:rPr>
          <w:rFonts w:eastAsia="Times New Roman" w:cstheme="minorBidi"/>
          <w:color w:val="000000" w:themeColor="text1"/>
          <w:lang w:val="pl-PL"/>
        </w:rPr>
        <w:t>Zaoferowane oprogramowanie musi posiadać funkcjonalność wirtualnego TPM 2.0 dla maszyn wirtualnych z zainstalowanym Microsoft Windows 10 oraz Microsoft Windows 2016. Zamawiający wymaga</w:t>
      </w:r>
      <w:r w:rsidR="71432856" w:rsidRPr="0E3C54E5">
        <w:rPr>
          <w:rFonts w:eastAsia="Times New Roman" w:cstheme="minorBidi"/>
          <w:color w:val="000000" w:themeColor="text1"/>
          <w:lang w:val="pl-PL"/>
        </w:rPr>
        <w:t>,</w:t>
      </w:r>
      <w:r w:rsidRPr="0E3C54E5">
        <w:rPr>
          <w:rFonts w:eastAsia="Times New Roman" w:cstheme="minorBidi"/>
          <w:color w:val="000000" w:themeColor="text1"/>
          <w:lang w:val="pl-PL"/>
        </w:rPr>
        <w:t> aby z punktu widzenia maszyny wirtualnej z systemem operacyjnym Microsoft Windows 10 lub Microsoft Windows 2016 wirtualny TPM widziany był jako standardowy TPM, gdzie można przechowywać bezpiecznie wrażliwe dane np. certyfikaty. Zawartość wirtualnego TPM musi być przechowywana w pliku przynależnym do maszyny wirtualnej oraz musi być szyfrowana.  </w:t>
      </w:r>
    </w:p>
    <w:p w14:paraId="55D1815A" w14:textId="16A00ADF" w:rsidR="00805EBC" w:rsidRPr="00805EBC" w:rsidRDefault="00805EBC" w:rsidP="0E3C54E5">
      <w:pPr>
        <w:pStyle w:val="Akapitzlist"/>
        <w:spacing w:after="0" w:line="240" w:lineRule="auto"/>
        <w:textAlignment w:val="baseline"/>
        <w:rPr>
          <w:rFonts w:eastAsia="Times New Roman" w:cstheme="minorBidi"/>
          <w:color w:val="000000"/>
          <w:lang w:val="pl-PL" w:eastAsia="pl-PL"/>
        </w:rPr>
      </w:pPr>
      <w:r w:rsidRPr="0E3C54E5">
        <w:rPr>
          <w:rFonts w:eastAsia="Times New Roman" w:cstheme="minorBidi"/>
          <w:color w:val="000000" w:themeColor="text1"/>
          <w:lang w:val="pl-PL"/>
        </w:rPr>
        <w:t>Zaoferowane oprogramowanie musi posiadać funkcjonalność szybkiego uruchamiania wirtualizatora po przeprowadzonym procesie jego aktualizacji. Zamawiający wymaga</w:t>
      </w:r>
      <w:r w:rsidR="77566FEE" w:rsidRPr="0E3C54E5">
        <w:rPr>
          <w:rFonts w:eastAsia="Times New Roman" w:cstheme="minorBidi"/>
          <w:color w:val="000000" w:themeColor="text1"/>
          <w:lang w:val="pl-PL"/>
        </w:rPr>
        <w:t>,</w:t>
      </w:r>
      <w:r w:rsidRPr="0E3C54E5">
        <w:rPr>
          <w:rFonts w:eastAsia="Times New Roman" w:cstheme="minorBidi"/>
          <w:color w:val="000000" w:themeColor="text1"/>
          <w:lang w:val="pl-PL"/>
        </w:rPr>
        <w:t> aby w procesie aktualizacji wirtualizatora, jeśli wymagany jest jego restart, funkcjonalność szybkiego uruchamiania powodowała eliminację czasochłonnej fazy inicjalizacji serwera fizycznego </w:t>
      </w:r>
    </w:p>
    <w:p w14:paraId="615C337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aktualizacji i kontroli wersji oprogramowania do wirtualizacji w ramach klastra serwerów z poziomu centralnej konsoli zarządzającej. Dodatkowo centralna konsola zarządzająca musi posiadać funkcjonalność aktualizacji firmware komponentów serwera fizycznego (dyski, kontrolery, karty sieciowe) z poziomu konsoli zarządzającej wirtualizatora. Konsola zarządzająca musi mieć możliwość automatycznej weryfikacji, czy zainstalowane komponenty serwera posiadają rekomendowaną wersję sterowników i firmware, eliminując ryzyko pracy na nieaktualnych wersjach. Taka funkcjonalność powinna być dostępna dla minimum dwóch producentów serwerów obecnych na rynku </w:t>
      </w:r>
    </w:p>
    <w:p w14:paraId="292F009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wsparcie dla natywnych dysków 4K </w:t>
      </w:r>
    </w:p>
    <w:p w14:paraId="0B35BE8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wspierać protokół precyzyjnej synchronizacji czasu PTP (ang. </w:t>
      </w:r>
      <w:r w:rsidRPr="497B2BD0">
        <w:rPr>
          <w:rFonts w:eastAsia="Times New Roman" w:cstheme="minorBidi"/>
          <w:color w:val="000000" w:themeColor="text1"/>
        </w:rPr>
        <w:t>Precision Time Protocol) </w:t>
      </w:r>
    </w:p>
    <w:p w14:paraId="27DBF51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mechanizm, który ogranicza dostęp do indywidualnego zarządzania warstwą wirtualizacji na serwerach fizycznych w ramach klastra serwerów w celu utwardzenia/hardening (maksymalnego zwiększenia bezpieczeństwa dostępu) systemu wirtualizacji. </w:t>
      </w:r>
    </w:p>
    <w:p w14:paraId="3C55A92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mieć funkcjonalność migracji w trybie rzeczywistym dysków działających maszyn wirtualnych z jednego podsystemu dyskowego do innego bez konieczności przerywania pracy maszyny wirtualnej, której dysk jest migrowany </w:t>
      </w:r>
    </w:p>
    <w:p w14:paraId="3D4803E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obejmuje walidację FIPS, a także zaktualizowane przewodniki audytów. </w:t>
      </w:r>
    </w:p>
    <w:p w14:paraId="0ECBA07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mieć możliwość utworzenia, poprzez API, maszyny wirtualnej jako tzw. </w:t>
      </w:r>
      <w:r w:rsidRPr="001357DA">
        <w:rPr>
          <w:rFonts w:eastAsia="Times New Roman" w:cstheme="minorBidi"/>
          <w:color w:val="000000" w:themeColor="text1"/>
          <w:lang w:val="pl-PL"/>
        </w:rPr>
        <w:t>Instant Clone poprzez klonowanie działającej maszyny wirtualnej w wyniku którego powstanie nowa działająca maszyna wirtualna identyczna z klonowaną. Nowa maszyna wirtualna musi powstawać w pamięci operacyjnej wirtualizatora </w:t>
      </w:r>
    </w:p>
    <w:p w14:paraId="34D801B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monitorowania i wyświetlania za pomocą grafu w konsoli bieżącego poboru energii elektrycznej dla hosta wirtualizacyjnego oraz dla maszyn wirtualnych na nim posadowionych </w:t>
      </w:r>
    </w:p>
    <w:p w14:paraId="5DC6DFC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automatyczne równoważenie obciążenia CPU/MEM serwerów fizycznych pracujących jako platforma dla infrastruktury wirtualnej </w:t>
      </w:r>
    </w:p>
    <w:p w14:paraId="31840A1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do wirtualizacji musi zapewniać mechanizm pozwalający tworzyć profil (szablon konfiguracji) wybranego serwera wirtualizacyjnego (Hypervisora), a następnie wymuszać ten profil/konfigurację na innych serwerach fizycznych lub sprawdzać zgodność konfiguracji pomiędzy zdefiniowanym wcześniej profilem a wskazanym serwerem fizycznym </w:t>
      </w:r>
    </w:p>
    <w:p w14:paraId="3184200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umożliwiać utworzenie w nim jednorodnego, wirtualnego przełącznika sieciowego, rozproszonego na wszystkie serwery fizyczne istniejące w tym klastrze. Przełącznik taki musi zapewniać możliwość konfiguracji parametrów sieciowych maszyny wirtualnej z granulacją na poziomie portu tego przełącznika. Pojedyncza maszyna wirtualna musi mieć możliwość wykorzystania jednego lub wielu portów przełącznika z niezależną od siebie konfiguracją. </w:t>
      </w:r>
      <w:r w:rsidRPr="497B2BD0">
        <w:rPr>
          <w:rFonts w:eastAsia="Times New Roman" w:cstheme="minorBidi"/>
          <w:color w:val="000000" w:themeColor="text1"/>
        </w:rPr>
        <w:t>Przełącznik rozproszony musi współpracować z protokołem NetFlow </w:t>
      </w:r>
    </w:p>
    <w:p w14:paraId="34CD4FD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umożliwia uruchamianie poufnych kontenerów w serwerach opartych na procesorach EPYC ™ firmy AMD. </w:t>
      </w:r>
    </w:p>
    <w:p w14:paraId="437C8D6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Zaimplementowany w zaoferowanym oprogramowaniu przełącznik rozproszony musi umożliwiać funkcjonalność duplikowania ruchu sieciowego dowolnego jego portu wirtualnego na inny port </w:t>
      </w:r>
    </w:p>
    <w:p w14:paraId="1C4A496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Zaimplementowany w zaoferowanym oprogramowaniu przełącznik rozproszony musi mieć wbudowane mechanizmy składowania kopii konfiguracji, przywracania tej kopii a także mechanizmy automatycznie zapobiegające niewłaściwej konfiguracji sieciowej, które w całości lub w części mogą eliminować błędy ludzkie i utratę łączności sieciowej </w:t>
      </w:r>
    </w:p>
    <w:p w14:paraId="68EF57E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wbudowany mechanizm kontrolowania i monitorowania ruchu sieciowego oraz ustalania priorytetów w zależności od jego rodzaju na poziomie konkretnych maszyn wirtualnych </w:t>
      </w:r>
    </w:p>
    <w:p w14:paraId="410BFE1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uruchamiania fizycznych serwerów z centralnie przygotowanego obrazu poprzez protokół PXE </w:t>
      </w:r>
    </w:p>
    <w:p w14:paraId="041F11D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zapewnić możliwość bieżącego monitorowania wykorzystania zasobów fizycznych infrastruktury wirtualnej (np. wykorzystanie procesorów, pamięci RAM, wykorzystanie przestrzeni na dyskach/wolumenach) oraz przechowywać i wyświetlać dane historyczne </w:t>
      </w:r>
    </w:p>
    <w:p w14:paraId="36FC575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mieć możliwość przenoszenia maszyn wirtualnych w czasie ich pracy pomiędzy serwerami fizycznymi, pamięciami masowymi niezależnie od dostępności współdzielonej przestrzeni dyskowej, różnymi rodzajami wirtualnych przełączników sieciowych oraz pomiędzy różnymi Centrami Przetwarzania Danych platformami wirtualnej </w:t>
      </w:r>
    </w:p>
    <w:p w14:paraId="09B0B16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wbudowany mechanizm kontrolowania i monitorowania ruchu do pamięci masowych oraz ustalania priorytetów dostępu do nich na poziomie konkretnych wirtualnych maszyn </w:t>
      </w:r>
    </w:p>
    <w:p w14:paraId="5A937B3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grupowania pamięci masowych o podobnych parametrach w grupy i przydzielania ich do wirtualnych maszyn zgodnie z ustaloną przez administratora polityką </w:t>
      </w:r>
    </w:p>
    <w:p w14:paraId="66EBA86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udostępnianie pojedynczego urządzenia fizycznego (PCIe) jako logicznie separowanego wirtualnego urządzenia dedykowanego dla poszczególnych maszyn wirtualnych </w:t>
      </w:r>
    </w:p>
    <w:p w14:paraId="79A9528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równoważenia obciążenia i zajętości pamięci masowych wraz z pełną automatyką i przenoszeniem plików wirtualnych maszyn z bardziej zajętych na mniej zajęte przestrzenie dyskowe lub/i z przestrzeni dyskowych bardziej obciążonych operacjami I/O na mniej obciążone </w:t>
      </w:r>
    </w:p>
    <w:p w14:paraId="6FD1268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wspierać technologię rozproszonego udostępniania procesora graficznego Nvidia Grid vGPU zainstalowanego w serwerze fizycznym do maszyn wirtualnych </w:t>
      </w:r>
    </w:p>
    <w:p w14:paraId="45C0803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wspierać protokół Remote Direct Memory Access (RDMA) poprzez konwergentny Ethernet, lub RoCE (“rocky”) v2 i  iSCSI rozszerzenie dla RDMA (iSER). Wymaga się aby maszyny wirtualne można było konfigurować z wykorzystaniem protokołu RDMA </w:t>
      </w:r>
    </w:p>
    <w:p w14:paraId="05043A4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testowania wybranych serwerów (w szczególności tych, na których uruchomione są aplikacje przetwarzające dane wrażliwe i które mają dostęp do kluczy szyfrujących maszyny wirtualne) w celu weryfikacji, czy oprogramowanie jest autentyczne i nie zostało zmodyfikowane. Funkcjonalność ta powinna działać w oparciu o chip TPM 2.0 zainstalowany w serwerze i powinna odbywać się poza centralną konsolą zarządzającą (która sama jest maszyną wirtualną) wyłącznie w oparciu o sprzętowe źródło zaufania (hardware root of trust). Tylko serwery, które przejdą weryfikację mogą mieć dostęp do kluczy szyfrujących </w:t>
      </w:r>
    </w:p>
    <w:p w14:paraId="0E3C0C9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 przypadku pracy w oparciu o zarządzanie z centralnej konsoli zarządzającej, centralna konsola zarządzająca musi wspierać możliwość wcześniejszego i automatycznego przetestowania wpływu jej aktualizacji na pozostałe podłączone do niej komponenty klastra oraz uruchomione na nim funkcjonalności. Musi również wspierać proces aktualizacji całego klastra poprzez automatyczne raportowanie kolejności aktualizacji podłączonych do niej komponentów i rekomendowanej ich wersji. </w:t>
      </w:r>
    </w:p>
    <w:p w14:paraId="30BB8DB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wspierać możliwość eksportu konfiguracji centralnej konsoli zarządzającej wirtualizacją przez API i umożliwiać wykorzystanie jej jako szablonu przy kreowaniu kolejnych instancji centralnej konsoli zarządzającej oraz do weryfikacji poprawności konfiguracji zainstalowanych już instancji.  </w:t>
      </w:r>
    </w:p>
    <w:p w14:paraId="26387A4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 xml:space="preserve">Zaoferowane oprogramowanie musi wspierać funkcje DPU (ang. </w:t>
      </w:r>
      <w:r w:rsidRPr="001357DA">
        <w:rPr>
          <w:rFonts w:eastAsia="Times New Roman" w:cstheme="minorBidi"/>
          <w:color w:val="000000" w:themeColor="text1"/>
          <w:lang w:val="pl-PL"/>
        </w:rPr>
        <w:t>Digital Processing Unit) na zasadzie przekazywania obciążen sieci wirtualnej z hipervisora do oddzielnej jednostki DPU zainstalowanej w serwerze fizycznym </w:t>
      </w:r>
    </w:p>
    <w:p w14:paraId="5FB8A720"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Zaoferowane oprogramowanie musi wspierać funkcjonalność bezpośredniego tworzenia kontenerów oraz klastrów Kubernetes  na hiperwizorze (warstwie wirtualizatora) za pomocą dostarczonej konsoli zarządzającej Kubernetes (Kubectl) </w:t>
      </w:r>
    </w:p>
    <w:p w14:paraId="49F05795"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lang w:val="pl-PL"/>
        </w:rPr>
        <w:t>W zakresie zarządzania klastrami wirtualizacyjnymi Zamawiający wymaga:</w:t>
      </w:r>
      <w:r w:rsidRPr="004A4523">
        <w:rPr>
          <w:rFonts w:eastAsia="Times New Roman" w:cstheme="minorBidi"/>
          <w:lang w:val="pl-PL"/>
        </w:rPr>
        <w:t> </w:t>
      </w:r>
    </w:p>
    <w:p w14:paraId="245CCA9E"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Ilość instancji zaoferowanego oprogramowania do zarządzania klastrem wirtualizacyjnym musi być równa liczbie fizycznych core zaoferowanych w oprogramowaniu do wirtulizacji mocy obliczeniowej </w:t>
      </w:r>
    </w:p>
    <w:p w14:paraId="16D5E0E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konsolę graficzną do zarządzania maszynami wirtualnymi i do konfigurowania innych funkcjonalności. min: zasobów dyskowych oraz  zasobów sieci komputerowej. Konsola graficzna powinna działać jako zainstalowana aplikacja na maszynie wirtualnej. Dodatkowo wymaga się aby maszyna z aplikacją była wstępnie skonfigurowana i dostępna jako tzw. virtual appliance. Instalacja w/w virtaul appliance nie może wiązać się z potrzebą dostawy dodatkowego oprogramowania takiego jak np. system operacyjny lub baza danych. </w:t>
      </w:r>
    </w:p>
    <w:p w14:paraId="2622893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wbudowany serwer ściany ogniowej (ang. firewall) dający możliwość konfiguracji blokady lub akceptacji ruchu pomiędzy konsolą zarządzającą a serwerami oraz serwerami wirtualnymi na nich posadowionymi, przy założeniu blokowania całego ruchu a nie poszczególnych portów </w:t>
      </w:r>
    </w:p>
    <w:p w14:paraId="15F5CCE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konfiguracji uwierzytelniania użytkowników logujących się do niego w oparciu o minimum: domenę Microsoft Active Directory, Microsoft Active Directory over LDAP oraz Open LDAP. </w:t>
      </w:r>
    </w:p>
    <w:p w14:paraId="11C2AB4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konsole graficzną, która musi być dostępna poprzez dedykowanego klienta (za pomocą przeglądarek minimum Mozilla Firefox oraz Chrome) lub poprzez konsolę graficzną, która zbudowana jest z wykorzystaniem języka HTML5 </w:t>
      </w:r>
    </w:p>
    <w:p w14:paraId="7431E28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zcentralizowanego zarządzania hostami wirtualizacyjnymi </w:t>
      </w:r>
    </w:p>
    <w:p w14:paraId="38CCABD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natywne mechanizmy do wykonywania kopii zapasowej swojej konfiguracji. </w:t>
      </w:r>
      <w:r w:rsidRPr="497B2BD0">
        <w:rPr>
          <w:rFonts w:eastAsia="Times New Roman" w:cstheme="minorBidi"/>
          <w:color w:val="000000" w:themeColor="text1"/>
        </w:rPr>
        <w:t>Dodatkowo wymaga się możliwości ustawienia harmonogramu wykonywania kopii zapasowej.  </w:t>
      </w:r>
    </w:p>
    <w:p w14:paraId="1EEA0E2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poprzez rozszerzenie o dodatkową licencję oferowaną przez tego samego producenta musi posiadać wbudowaną funkcjonalność zarządzania wirtualną przestrzenią dyskową SDS (ang. </w:t>
      </w:r>
      <w:r w:rsidRPr="497B2BD0">
        <w:rPr>
          <w:rFonts w:eastAsia="Times New Roman" w:cstheme="minorBidi"/>
          <w:color w:val="000000" w:themeColor="text1"/>
        </w:rPr>
        <w:t>Software Defined Storage) </w:t>
      </w:r>
    </w:p>
    <w:p w14:paraId="142D07D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interfejs graficzny do prowadzenia prac administracyjnych w zakresie swojej konfiguracji oraz monitoringu (możliwość monitorowania obciążenia min. vCPU, vRAM, vHDD, sieci, bazy danych). </w:t>
      </w:r>
      <w:r w:rsidRPr="497B2BD0">
        <w:rPr>
          <w:rFonts w:eastAsia="Times New Roman" w:cstheme="minorBidi"/>
          <w:color w:val="000000" w:themeColor="text1"/>
        </w:rPr>
        <w:t>Interfejs graficzny powinien być wykonany w standardzie HTML5 </w:t>
      </w:r>
    </w:p>
    <w:p w14:paraId="1E91B21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zawiera możliwość automatyzacji instalacji wielu konsoli zarządzania poprzez użycie schematów konfiguracji.  </w:t>
      </w:r>
    </w:p>
    <w:p w14:paraId="566B16E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umożliwia aktualizowanie wielu wirtualizatorów równocześnie.  </w:t>
      </w:r>
    </w:p>
    <w:p w14:paraId="655A1B8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Rozwiązanie musi zapewniać natywne mechanizmy wysokiej dostępności HA (ang. high availability) w niezawodnej architekturze Active-Passive-Witness dla wszystkich składowych komponentów centralnej konsoli graficznej zarządzającej platformą wirtualną </w:t>
      </w:r>
    </w:p>
    <w:p w14:paraId="4CDF80D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zapewnia podstawowe funkcje serwera zarządzania kluczami (KMS), które upraszcza włączenie szyfrowania i zaawansowanych funkcji bezpieczeństwa.   </w:t>
      </w:r>
    </w:p>
    <w:p w14:paraId="355F37D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w przypadku zarządzania serwerami opartymi o VMware vSphere, musi prezentować poziom zbalansowania mocy obliczeniowej w klastrze opartym o w/w wirtualizatory </w:t>
      </w:r>
    </w:p>
    <w:p w14:paraId="20EDE443" w14:textId="77777777" w:rsidR="00805EBC" w:rsidRPr="00805EBC" w:rsidRDefault="00805EBC" w:rsidP="497B2BD0">
      <w:pPr>
        <w:spacing w:after="0" w:line="240" w:lineRule="auto"/>
        <w:textAlignment w:val="baseline"/>
        <w:rPr>
          <w:rFonts w:eastAsia="Times New Roman" w:cstheme="minorBidi"/>
          <w:lang w:eastAsia="pl-PL"/>
        </w:rPr>
      </w:pPr>
      <w:r w:rsidRPr="497B2BD0">
        <w:rPr>
          <w:rFonts w:eastAsia="Times New Roman" w:cstheme="minorBidi"/>
          <w:color w:val="000000" w:themeColor="text1"/>
        </w:rPr>
        <w:t> </w:t>
      </w:r>
    </w:p>
    <w:p w14:paraId="615A97CF"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monitorowania i zarządzania pojemnością chmury prywatnej Zamawiający wymaga</w:t>
      </w:r>
      <w:r w:rsidRPr="004A4523">
        <w:rPr>
          <w:rFonts w:eastAsia="Times New Roman" w:cstheme="minorBidi"/>
          <w:color w:val="000000" w:themeColor="text1"/>
          <w:lang w:val="pl-PL"/>
        </w:rPr>
        <w:t> </w:t>
      </w:r>
    </w:p>
    <w:p w14:paraId="6B7EC640"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Zaoferowane oprogramowanie musi uzyskiwać informacje na temat wydajności środowiska wirtualnego pod kątem zarządzania pojemnością.  </w:t>
      </w:r>
    </w:p>
    <w:p w14:paraId="79886E3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 pomocą wbudowanych inteligentnych algorytmów przewidywać trendy związane z pojemnością środowiska wirtualnego.  </w:t>
      </w:r>
    </w:p>
    <w:p w14:paraId="01F96CF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dającą możliwość analizy środowiska wirtualnego pod kątem optymalizacji wykorzystania zasobów (CPU, RAM, zasoby dyskowe).  </w:t>
      </w:r>
    </w:p>
    <w:p w14:paraId="58D69EC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tworzenia unikalnego zbioru obiektów korespondujących funkcjami z obiektami Datacenter, tzn. musi być możliwe grupowanie obiektów w logiczne zbiory, dla których będzie istniała możliwość informowania o alertach, pojemności, ryzykach zgromadzonych w zbiorze obiektów. Obiekty mogą pochodzić z różnych Data Center objętych tym rozwiązaniem.  </w:t>
      </w:r>
    </w:p>
    <w:p w14:paraId="3C96A1C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tworzenia unikalnego/dedykowanego profilu pojemności, tzn. będzie możliwe grupowanie obiektów z Data Center w logiczne zbiory, dla których będzie istniała możliwość informowania o alertach, pojemności, ryzykach zgromadzonych w zbiorze obiektów.  </w:t>
      </w:r>
    </w:p>
    <w:p w14:paraId="79C8F31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funkcjonalność tworzenia scenariuszy predykcyjnego obliczania pojemności na zasadzie: "co jeśli" dla minimum: co jeśli dodamy kolejne maszyn wirtualne lub co jeśli dodamy nowe hosty wirtualizacyjne. Rozwiązanie będzie umożliwiało definiowanie poziomów buforów potrzebnych do zachowania wysokiej dostępności. Analiza pojemności musi odnosić się zarówno do średniego obciążenia środowiska, jak również do tzw. skoków obciążenia.  </w:t>
      </w:r>
    </w:p>
    <w:p w14:paraId="2D234C4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mieć funkcjonalność zapisywania i przechowywania różnych scenariuszy "co by było, gdyby" w obszarze zarządzania pojemnością. </w:t>
      </w:r>
      <w:r w:rsidRPr="497B2BD0">
        <w:rPr>
          <w:rFonts w:eastAsia="Times New Roman" w:cstheme="minorBidi"/>
          <w:color w:val="000000" w:themeColor="text1"/>
        </w:rPr>
        <w:t>Zapisane scenariusze muszą wpływać na prognozowanie analizy pojemności </w:t>
      </w:r>
    </w:p>
    <w:p w14:paraId="3E31B77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 obszarze zarządzania pojemnością mieć funkcjonalność definiowania poziomu konsolidacji/wirtualizacji (ilość wirtualnych rdzeni do fizycznych lub ilość wirtualnej pamięci do fizycznej) po to, aby w zakresie poprawnie wykonywać predykcję pojemności w przyszłości w modelu przypisanych zasobów wirtualnych (ilość wirtualnych rdzeni do fizycznych lub ilość wirtualnej pamięci do fizycznej)  </w:t>
      </w:r>
    </w:p>
    <w:p w14:paraId="145896F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w obrębie monitorowania, będzie posiadało rozwiązanie generowania alertów na podstawie korelacji wykrytych w środowisku wirtualnym anomalii i symptomów, a nie pojedynczych monitorowanych metryk  </w:t>
      </w:r>
    </w:p>
    <w:p w14:paraId="25A36A4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dostarczania informacji na temat rekomendowanych przez producenta konfiguracji, aby zapewnić optymalne, stabilne działanie rozwiązania.  </w:t>
      </w:r>
    </w:p>
    <w:p w14:paraId="0931E22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wbudowane komponenty integracyjne obsługujące zewnętrzne kolektory logów i zdarzeń. </w:t>
      </w:r>
    </w:p>
    <w:p w14:paraId="59BD549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monitorowania i alertowania na temat zgodności serwerów opartych na rozwiązaniu VMware vSphere z najlepszymi praktykami bezpieczeństwa "VMware vSphere hardening" oraz DISA (Defence Information Systems Agency), FISMA (Federal Information Security Management Act), ISO, PCI (Payment Card Industry) i HIPAA (Health Insurance Portability and Accountability Act).  </w:t>
      </w:r>
    </w:p>
    <w:p w14:paraId="4F62488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wizualizować w trybie online obciążenie środowiska wirtualnego wraz z tzw. funkcjonalnością „drill down” do minimum 2 poziomów zagnieżdżenia. </w:t>
      </w:r>
    </w:p>
    <w:p w14:paraId="0885DEB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graficznej prezentacji wyników (ang. dashboard). </w:t>
      </w:r>
    </w:p>
    <w:p w14:paraId="12BE646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aktywnych map graficznych ukazujących elementy lub całe środowisko wirtualne bez konieczności korzystania z usługi wsparcia technicznego producenta do ich dodatkowego wytwarzania podczas używania oprogramowania.  </w:t>
      </w:r>
    </w:p>
    <w:p w14:paraId="2D1FA82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dokonywać automatycznej predykcji wykorzystania zasobów maszyn fizycznych na podstawie analiz zebranych danych, informacji pochodzących z modułu zarządzania cyklem życia maszyn wirtualnych (wbudowanego w zaoferowane oprogramowanie) oraz planów uruchomienia kolejnych serwerów wirtualnych. Zakres historii do analityki predykcyjnej musi wynosić co najmniej 6 miesięcy. </w:t>
      </w:r>
    </w:p>
    <w:p w14:paraId="3282B1F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przeglądanie linii trendu monitorowanych parametrów. </w:t>
      </w:r>
    </w:p>
    <w:p w14:paraId="5AF31E3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tworzenie raportów pojemnościowych dla monitorowanego środowiska, zarówno dla urządzeń wirtualnych jak i fizycznych  </w:t>
      </w:r>
    </w:p>
    <w:p w14:paraId="3BDBD02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monitorowanie środowisk w czasie rzeczywistym (przeglądane informacje powinny ukazywać się w trybie rzeczywistym – dopuszczane jest maksymalne opóźnienie nie większe niż 5 minut z możliwością ręcznego skracania tego czasu do 20 sekund dla wybranych metryk) </w:t>
      </w:r>
    </w:p>
    <w:p w14:paraId="7ACCE7F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pozyskiwać oraz prezentować, w formie wykresów oraz tabelaryczno-tekstowej, zbiorczo oraz osobno, dla każdego systemu operacyjnego, aktualne i historyczne dane dotyczące utylizacji CPU, RAM, zasobów dyskowych oraz interfejsów sieciowych. </w:t>
      </w:r>
    </w:p>
    <w:p w14:paraId="21EAF3D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umożliwiać szczegółowe monitorowanie komponentów serwerów fizycznych (CPU, Ethernet, RAM, zasoby dyskowe)  </w:t>
      </w:r>
    </w:p>
    <w:p w14:paraId="4D99A9D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definiowanie progów wydajności i pojemności w celu identyfikacji przypadków wąskich gardeł  </w:t>
      </w:r>
    </w:p>
    <w:p w14:paraId="1B1681E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posiadać możliwość kasowania, wykonywania kopii migawkowych (ang. snapshot), włączania oraz wyłączania maszyn wirtualnych posadowionych na monitorowanym środowisku wirtualnym. </w:t>
      </w:r>
    </w:p>
    <w:p w14:paraId="4982C6C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automatycznie przeszukiwać i analizować zebrane dane w celu wynajdywania nadmiarowości oraz niedoborów przyznanych zasobów (CPU, RAM, HDD) w monitorowanym środowisku.  </w:t>
      </w:r>
    </w:p>
    <w:p w14:paraId="3911635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automatycznego alarmowania w sytuacji nietypowych (system monitoringu obserwuje i analizuje zachowanie platformy wirtualnej, na tej podstawie podnosi alarmy o innym od normalnego zachowaniu)  </w:t>
      </w:r>
    </w:p>
    <w:p w14:paraId="6B1BE0C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dowolnego przypisywania powiadamiania o alertach w środowisku dla różnych grup odbiorców (także z użyciem alertów stworzonych we własnym zakresie przez użytkownika).  </w:t>
      </w:r>
    </w:p>
    <w:p w14:paraId="278B480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pozwalać na odczyt wyświetlanych alarmów dotyczących monitorowanego środowiska wirtualnego wraz z powiązanymi z nimi poradami eksperckim.   </w:t>
      </w:r>
    </w:p>
    <w:p w14:paraId="2555FED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definiowanie alertów związanych z: zarządzaniem pojemnością, zarządzaniem wydajnością, anomaliami w środowisku, zarządzaniu dostępnością dla monitorowanego środowiska. </w:t>
      </w:r>
    </w:p>
    <w:p w14:paraId="6F1E6BF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posiadać funkcjonalność przypisania alertu do administratora/operatora rozwiązującego problem.  </w:t>
      </w:r>
    </w:p>
    <w:p w14:paraId="7D202E0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integrować się z modułem do zbierania logów  (poprzez integracje Zamawiający rozumie możliwość przesyłania danych z rozwiązania modułu do zbierania logów do modułu do monitorowania).  </w:t>
      </w:r>
    </w:p>
    <w:p w14:paraId="5693B4C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generowania gotowych, predefiniowanych raportów o stanie środowiska monitorowanego. </w:t>
      </w:r>
    </w:p>
    <w:p w14:paraId="7B8A896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integrować się z modułem do monitorowania i analizowania sieci (przez integrację Zamawiający rozumie możliwość dostarczania danych o wykrywaniu aplikacji z modułu do monitorowania sieci do przedmiotowego modułu do monitorowania).  </w:t>
      </w:r>
    </w:p>
    <w:p w14:paraId="0CC6628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gotowego pulpitu kierowniczego (ang. dashboard) za pomocą którego administrator będzie posiadał gotowe trzy kolumny z następującymi informacjami: </w:t>
      </w:r>
    </w:p>
    <w:p w14:paraId="31BF9A2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Zdarzenia jakie wystąpiły w zadanym okresie czasu dla analizowanego problemu, min. dla: wirtualnych maszyn, sieci wirtualnej, wirtualnej przestrzeni dyskowej </w:t>
      </w:r>
    </w:p>
    <w:p w14:paraId="1E89CFB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Anomalie, jakie wystąpiły w zadanym okresie czasu dla analizowanego problemu </w:t>
      </w:r>
    </w:p>
    <w:p w14:paraId="27F1870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Zmiany w konfiguracji monitorowanej infrastruktury jakie wystąpiły w zadanym okresie dla analizowanego problemu </w:t>
      </w:r>
    </w:p>
    <w:p w14:paraId="77D4F2B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Analiza danych ukazująca powyższe wyniki prezentowane w dashboard musi odbywać się automatycznie poprzez mechanizmy uczenia się maszynowego zaoferowanego oprogramowania do monitorowania na podstawie zakresu czasowego definiowanego przez użytkownika tego dashboardu. Dodatkowo użytkownik musi mieć możliwość definiowania, dla którego obiektu, np. wybranej maszyny wirtualnej należy przeprowadzić analizę, a następnie wyświetlić jej wyniki.  </w:t>
      </w:r>
    </w:p>
    <w:p w14:paraId="3F6FA5D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posiadać możliwość zastosowania dodatkowych adapterów umożliwiających integrację z systemami firm trzecich monitorującymi infrastrukturę, bazy danych oraz aplikacje. </w:t>
      </w:r>
    </w:p>
    <w:p w14:paraId="393A7A8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zastosowania dodatkowych paczek monitorujących dla rozwiązań firm trzecich oraz moduł do budowania takich paczek (ang. pack). </w:t>
      </w:r>
    </w:p>
    <w:p w14:paraId="137B812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umożliwiać konfigurację trybu wysokiej dostępności (ang. </w:t>
      </w:r>
      <w:r w:rsidRPr="001357DA">
        <w:rPr>
          <w:rFonts w:eastAsia="Times New Roman" w:cstheme="minorBidi"/>
          <w:color w:val="000000" w:themeColor="text1"/>
          <w:lang w:val="pl-PL"/>
        </w:rPr>
        <w:t xml:space="preserve">HA) dla każdego swojego komponentu w celu uniknięcia awarii pojedynczego elementu. </w:t>
      </w:r>
      <w:r w:rsidRPr="004A4523">
        <w:rPr>
          <w:rFonts w:eastAsia="Times New Roman" w:cstheme="minorBidi"/>
          <w:color w:val="000000" w:themeColor="text1"/>
          <w:lang w:val="pl-PL"/>
        </w:rPr>
        <w:t>Należy zapewnić architekturę, która zapobiega utracie danych w przypadku awarii jednego z węzłów klastra. </w:t>
      </w:r>
    </w:p>
    <w:p w14:paraId="0417B06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zmiany parametrów maszyn wirtualnych, minimum CPU i RAM, za pomocą wygenerowanego w tym oprogramowaniu zadania. Dodatkowo, wymagana jest funkcjonalność odkładania w czasie w/w zadania, po wygenerowaniu (zadanie może być uruchamiane w momencie utworzenia lub w dowolnie skonfigurowanym przez użytkownika czasie). </w:t>
      </w:r>
    </w:p>
    <w:p w14:paraId="1BD65DF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elastyczne dostosowanie wyglądu interfejsu użytkownika w zależności od indywidualnych potrzeb. </w:t>
      </w:r>
    </w:p>
    <w:p w14:paraId="09DEC53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Oferowane oprogramowanie musi zapewniać kompleksowe możliwości wyszukiwania po wszystkich przechowywanych obiektach, ich właściwościach i wartościach metryk. </w:t>
      </w:r>
    </w:p>
    <w:p w14:paraId="423F85B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funkcję tzw. konfiguratora własnych widoków zgromadzonych danych, który musi umożliwiać tworzenie zaawansowanych widoków dotyczących wszystkich monitorowanych metryk.   </w:t>
      </w:r>
    </w:p>
    <w:p w14:paraId="19F9E86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funkcję tzw. konfiguratora własnych pulpitów kierowniczych (ang. dashboard) na podstawie zgromadzonych danych w rozwiązaniu. Za pomocą tej funkcjonalności rozwiązanie musi umożliwiać tworzenie zaawansowanych pulpitów kierowniczych (dashborad)  </w:t>
      </w:r>
    </w:p>
    <w:p w14:paraId="23552A8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monitorowania systemów operacyjnych serwerów wirtualnych opartych na platformie VMware (w tym Windows, Linux) i dostarczać takich danych jak: zużycie pamięci, nazwa DNS, wykorzystanie systemu plików </w:t>
      </w:r>
    </w:p>
    <w:p w14:paraId="154D73F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Oferowane oprogramowanie musi posiadać funkcjonalność wykrywania usług (ang. service discovery) serwerów wirtualnych opartych o platformę VMware (w tym Windows, Linux) bez agentów. Administrator może wybrać pożądaną usługę z biblioteki lub określić własną. </w:t>
      </w:r>
    </w:p>
    <w:p w14:paraId="57663B9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monitorowania systemów operacyjnych (m.in. Windows, Linux) za pomocą zainstalowanego agenta w monitorowanym systemie operacyjnym.  </w:t>
      </w:r>
    </w:p>
    <w:p w14:paraId="08091BE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posiadać możliwość matematycznego wyliczania wartości super metryki na podstawie innych, gromadzonych i monitorowanych metryk podstawowych. Super metryka to formuła matematyczna, która zawiera jedną lub więcej metryk. Jest to niestandardowa metryka, którą można zaprojektować w rozwiązaniu, aby pomóc śledzić kombinacje metryk, z jednego obiektu lub z wielu obiektów  </w:t>
      </w:r>
    </w:p>
    <w:p w14:paraId="60800CB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po uruchomieniu alarmu, wykonywać na podstawie tego alarmu, automatyczne działania dotyczących akcji naprawczych.  </w:t>
      </w:r>
    </w:p>
    <w:p w14:paraId="2B73966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umożliwiać wykazanie zrównoważonego rozwoju (sustainability) w centrach danych klienta poprzez pokazanie redukcji śladu węglowego wynikającej z wdrożenia wirtualizacji serwerów, optymalizacji obciążeń i innych działań. </w:t>
      </w:r>
    </w:p>
    <w:p w14:paraId="0C5CC3E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monitorowania zmian na poziomie systemów operacyjnych w tym konfiguracji tych systemów  </w:t>
      </w:r>
    </w:p>
    <w:p w14:paraId="5DD5603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gotową do użycia funkcjonalność (Out-of-the-Box) w zakresie wykrywania, monitorowania i rozwiązywania problemów dla aplikacji firm trzecich w postaci gotowych do użycia bibliotek Dashboardów, Alertów i Raportów </w:t>
      </w:r>
    </w:p>
    <w:p w14:paraId="5DDA221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Zamawiający wymaga, aby w ramach oprogramowania do monitoringu można było uruchamiać w nim dedykowane wtyczki przygotowywane przy pomocy narzędzia dostarczonego przez producenta w ramach przedmiotowego postępowania. </w:t>
      </w:r>
    </w:p>
    <w:p w14:paraId="145B621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posiadać narzędzia automatyzujące i upraszczające proces wdrażania stosu oprogramowania infrastrukturalnego do wirtualizacji serwerów x86, wirtualizacji sieci oraz tworzenia macierzy dyskowej typu SDS poprzez zautomatyzowaną instalację oprogramowania oraz dedykowanego klastra zarządzającego całością zainstalowanej za pomocą przedmiotowego oprogramowania platformy. </w:t>
      </w:r>
    </w:p>
    <w:p w14:paraId="10CFD97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mechanizmy aktualizacji całego stosu zainstalowanego w oparciu o niego oprogramowania wirtualizującego oraz definiowania harmonogramu i zakresu tych aktualizacji. </w:t>
      </w:r>
    </w:p>
    <w:p w14:paraId="10D759E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Mechanizmy aktualizacji zawarte w zaoferowanym oprogramowaniu muszą umożliwiać korzystanie z aktualizacji w dwóch trybach – przy podłączaniu do internetowego portalu z poprawkami i w trybie offline – czyli możliwość wcześniejszego wgrania poprawek do repozytorium offline. </w:t>
      </w:r>
    </w:p>
    <w:p w14:paraId="30A1471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na oficjalnej stronie producenta listę wspieranych i certyfikowanych konfiguracji serwerów sprzętowych. </w:t>
      </w:r>
      <w:r w:rsidRPr="497B2BD0">
        <w:rPr>
          <w:rFonts w:eastAsia="Times New Roman" w:cstheme="minorBidi"/>
          <w:color w:val="000000" w:themeColor="text1"/>
        </w:rPr>
        <w:t>Wymagane jest wsparcie dla min. 3 niezależnych producentów sprzętu serwerowego. </w:t>
      </w:r>
    </w:p>
    <w:p w14:paraId="36320CF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wspierać funkcjonalność zarządzania hasłami dla komponentów, minimum takich jak: wirtualizacja mocy obliczeniowej, wirtualizacja przestrzeni dyskowej, wirtualizacja sieci komputerowej.  </w:t>
      </w:r>
    </w:p>
    <w:p w14:paraId="392802A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powinno dostarczyć co najmniej 3 metody zmiany haseł na przykład: automatyczne generowanie haseł, zmiana na własne hasło i możliwość podłączania managera haseł poprzez API.  </w:t>
      </w:r>
    </w:p>
    <w:p w14:paraId="4EFA668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powinno zapewniać autorotację haseł </w:t>
      </w:r>
    </w:p>
    <w:p w14:paraId="3AC4C6D3" w14:textId="1701A104" w:rsidR="00805EBC" w:rsidRPr="004027D0"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color w:val="000000" w:themeColor="text1"/>
          <w:lang w:val="pl-PL"/>
        </w:rPr>
        <w:t>Zaoferowane oprogramowanie musi umożliwiać zarządzanie certyfikatami SSL z konsoli centralnej dla komponentów stosu do budowania chmury prywatnej.  </w:t>
      </w:r>
    </w:p>
    <w:p w14:paraId="10C0441D" w14:textId="77777777" w:rsidR="00A85676" w:rsidRPr="00805EBC" w:rsidRDefault="00A85676" w:rsidP="497B2BD0">
      <w:pPr>
        <w:spacing w:after="0" w:line="240" w:lineRule="auto"/>
        <w:textAlignment w:val="baseline"/>
        <w:rPr>
          <w:rFonts w:eastAsia="Times New Roman" w:cstheme="minorBidi"/>
          <w:lang w:eastAsia="pl-PL"/>
        </w:rPr>
      </w:pPr>
    </w:p>
    <w:p w14:paraId="2A0C637F"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automatyzacji Zamawiający wymaga:</w:t>
      </w:r>
      <w:r w:rsidRPr="004A4523">
        <w:rPr>
          <w:rFonts w:eastAsia="Times New Roman" w:cstheme="minorBidi"/>
          <w:color w:val="000000" w:themeColor="text1"/>
          <w:lang w:val="pl-PL"/>
        </w:rPr>
        <w:t> </w:t>
      </w:r>
    </w:p>
    <w:p w14:paraId="3851C69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portal typu „Self-Service” do automatycznego tworzenia i uruchamiania wirtualnych systemów operacyjnych, platform aplikacyjnych i całych zestawów/systemów maszyn wirtualnych  </w:t>
      </w:r>
    </w:p>
    <w:p w14:paraId="343D802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Interfejs graficzny UI (ang. user interface) musi być dostępny poprzez przeglądarkę internetową, wspierać technologię opartą o HTML5 oraz posiadać możliwość katalogowania widoku poszczególnych typów usług według własnego wzorca  </w:t>
      </w:r>
    </w:p>
    <w:p w14:paraId="366B23F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modyfikacji właściwości obiektów w katalogu (w tym w szczególności konfiguracji wirtualnego sprzętu: CPU, RAM, storage, network), zarówno przed provisioningiem usługi jak i po provisioningu   </w:t>
      </w:r>
    </w:p>
    <w:p w14:paraId="474F06C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za pomocą dodatkowej integracji, musi oferować w ramach katalogu usług informacje o kosztach danej usługi - modyfikowana na bieżąco w zależności od konfiguracji wirtualnego sprzętu (np. ilość instancji, ilość pamięci RAM, ilość CPU)  </w:t>
      </w:r>
    </w:p>
    <w:p w14:paraId="3DC4EB6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prezentować informacje w postaci wykresów o kluczowych metrykach maszyny wirtualnej, wytworzonej w ramach ustalonego procesu takich jak CPU, pamięć, IOPS, sieć.  </w:t>
      </w:r>
    </w:p>
    <w:p w14:paraId="4687645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modyfikację wirtualnego sprzętu przypisanego do obiektu po "provisioningu" danego obiektu z katalogu. Musi pozwalać na rozszerzalność akcji/działań dla dostarczonych zasobów, np. włączanie/wyłączanie maszyn wirtualnych, wykonywanie kopii zapasowych/przywracanie danych maszyn wirtualnych, instalowanie aplikacji, itp.  </w:t>
      </w:r>
    </w:p>
    <w:p w14:paraId="532272D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zestaw wbudowanych procesów/czynności automatyzacji dostarczania usług wraz z możliwością ich edycji, zmiany konfiguracji i tworzenia nowych „kroków” w procesie cyklu życia konkretnej usługi  </w:t>
      </w:r>
    </w:p>
    <w:p w14:paraId="6B9BA1C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informować o statusie usługi w czasie rzeczywistym min: usługa zaakceptowana, zakolejkowana, odrzucona, w trakcie akceptacji. Dodatkowo Zaoferowane oprogramowanie musi mieć możliwość wysłania informacji poprzez pocztę elektroniczną o zmianie statusu usługi.  </w:t>
      </w:r>
    </w:p>
    <w:p w14:paraId="4C993D2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definiowania sieci wirtualnych, które łączą maszyny wirtualne w ramach zarządzanej platformy (w każdym z Data Center będącym elementem projektu) – rozwiązanie musi wspierać natywnie nie mniej niż dwa rozwiązania typu SDN.  </w:t>
      </w:r>
    </w:p>
    <w:p w14:paraId="2DCD066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możliwość definiowania sieci wewnętrznych jak i sieci zewnętrznych połączonych do sieci fizycznej - pozwalającej na komunikację np. do Internetu za pomocą np. </w:t>
      </w:r>
      <w:r w:rsidRPr="001357DA">
        <w:rPr>
          <w:rFonts w:eastAsia="Times New Roman" w:cstheme="minorBidi"/>
          <w:color w:val="000000" w:themeColor="text1"/>
          <w:lang w:val="pl-PL"/>
        </w:rPr>
        <w:t>NAT – rozwiązanie musi wspierać natywnie nie mniej niż dwa rozwiązania typu SDN.  </w:t>
      </w:r>
    </w:p>
    <w:p w14:paraId="2D7C289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możliwość definiowania fizycznych zasobów (mocy obliczeniowej) oraz zmiany ich wielkości poprzez powiększenie lub pomniejszenie obiektu) bez wpływu na działanie usług - tj. </w:t>
      </w:r>
      <w:r w:rsidRPr="497B2BD0">
        <w:rPr>
          <w:rFonts w:eastAsia="Times New Roman" w:cstheme="minorBidi"/>
          <w:color w:val="000000" w:themeColor="text1"/>
        </w:rPr>
        <w:t>Obiekt musi być dostępny podczas dokonywanych operacji   </w:t>
      </w:r>
    </w:p>
    <w:p w14:paraId="0F2EDE8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definiowania logicznych obiektów zawierających wiele wirtualnych elementów w tym wiele maszyn wirtualnych powiązanych ze sobą zależnościami, tak aby w rezultacie administrator systemu mógł stworzyć wielowarstwowy serwis (np. aplikacja CRM (Load Balansowany Web Front-End, Middelware oraz sklastrowany Back End- Baza Danych)   </w:t>
      </w:r>
    </w:p>
    <w:p w14:paraId="141BFCE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 pomocą zaoferowanego oprogramowania, administrator musi posiadać możliwość wyboru, które obiekty z katalogu mogą ulegać modyfikacji przez użytkownika końcowego. </w:t>
      </w:r>
      <w:r w:rsidRPr="004A4523">
        <w:rPr>
          <w:rFonts w:eastAsia="Times New Roman" w:cstheme="minorBidi"/>
          <w:color w:val="000000" w:themeColor="text1"/>
          <w:lang w:val="pl-PL"/>
        </w:rPr>
        <w:lastRenderedPageBreak/>
        <w:t>Wymaga się aby lista obiektów była nie mniejsza niż: liczba wirtualnych procesorów, wielkość pamięci operacyjnej, ilość i wielkość dysków oraz typ wolumenu, ilość kart sieciowych i typy sieci, czas dzierżawy, polityka archiwizacji, hasło administracyjne systemu operacyjnego) przy czym zmiana parametrów przez użytkownika może wymagać dodatkowych akceptacji przy procesie uruchomienia serwisu  </w:t>
      </w:r>
    </w:p>
    <w:p w14:paraId="10C1AFD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rezerwację zasobów fizycznych dla wybranych grup użytkowników oraz pełną kontrolę tych zasobów w obrębie wskazanej grupy użytkowników.  </w:t>
      </w:r>
    </w:p>
    <w:p w14:paraId="71838BF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tworzenia wielu logicznych, izolowanych od siebie grup maszyn wirtualnych, określania dla nich zasobów fizycznych, grup użytkowników, wzorców usług a także procesów tworzenia, zarządzania cyklem życia usług.  </w:t>
      </w:r>
    </w:p>
    <w:p w14:paraId="5E9E74A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się integrować z innymi systemami zewnętrznymi typu: CMDB, DNS, IPAM, Load Balancer, Service Desk, Monitoring jako pluginy lub napisanych od początku w języku programowania. Efektem powyższej integracji musi być w pełni automatyczny proces tworzenia i zarządzania usługą niewymagający czynności ręcznych. </w:t>
      </w:r>
    </w:p>
    <w:p w14:paraId="7FEDFB5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umożliwiać obsługiwać języki programowania Python, JavaScript, PowerShell, bash oraz musi zawierać bibliotekę powszechnie używanych komponentów i wspierać pracę z protokołami takimi jak REST, SQL, JDBC, SNMP, AD, Email, SSH, PowerCLI.  </w:t>
      </w:r>
    </w:p>
    <w:p w14:paraId="67D110A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jedno narzędzie do projektowania usługi opartej na OS, aplikacjach, usług sieciowych tj.: Load Balancing, Routing, Switching oraz tworzenia reguł bezpieczeństwa w locie podczas provisioningu - w sieciowym aspekcie rozwiązanie musi mieć wsparcie dla mikrosegmentacji tj. filtrowania ruchu pomiędzy dowolnymi maszynami wirtualnymi również w obrębie tej samej sieci. </w:t>
      </w:r>
    </w:p>
    <w:p w14:paraId="5A799A4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interfejs typu „drag-drop” przeznaczony do tworzenia dowolnej aplikacji na podstawie utworzonych wcześniej komponentów, aplikacji, systemów, sieci i polityk bezpieczeństwa oraz innych skryptów pomocnych w automatyzacji  </w:t>
      </w:r>
    </w:p>
    <w:p w14:paraId="0620A96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graficzną edycję przebiegu procesu realizacji usług, definiowanie poszczególnych kroków oraz ich danych wejściowych i wyjściowych. Przebiegi procesów mogą być sekwencyjne lub składać się z wielu sekwencji zadań realizowanych równocześnie, musi istnieć możliwość testowania zdefiniowanych procesów realizacji usług przy użyciu debugger-a, który pozwala analizować postęp procesu krok po kroku ze śledzeniem przekazywanych danych. </w:t>
      </w:r>
    </w:p>
    <w:p w14:paraId="2E0FA7D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export/import zdefiniowanych procesów realizacji usług do/z pliku w celu przeniesienia definicji pomiędzy różnymi środowiskami i wspierać podejście Infrastructure as Code (IaC). Dodatkowo narzędzie projektowe musi wspierać wdrażanie usług za pomocą kodu Terraform lub Ansible. </w:t>
      </w:r>
    </w:p>
    <w:p w14:paraId="29A5B6C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integrację z Active Directory oraz Open LDAP, i wieloma ich domenami w tym samym czasie. </w:t>
      </w:r>
    </w:p>
    <w:p w14:paraId="5561861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posiadać możliwość granularnego zarządzania uprawnieniami dla poszczególnych użytkowników w zależności od pełnionej roli, opartego na rolach: np.: Tenant Admin, Service Architect, Network Architect, Application Architect. </w:t>
      </w:r>
    </w:p>
    <w:p w14:paraId="1962417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dostarczać mechanizmy monitorowania statusu zdarzeń, notyfikacji o tych zdarzeniach, umożliwiać śledzenie i kontrolę zmian w konfiguracji wszystkich usług, za pomocą min. portalu Self-Service i powiadomień e-mail. </w:t>
      </w:r>
    </w:p>
    <w:p w14:paraId="6975C6D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zgłaszania przez Administratora potrzeby odzyskania poszczególnych zasobów od użytkowników w przypadku ich niewłaściwego wykorzystywania.  </w:t>
      </w:r>
    </w:p>
    <w:p w14:paraId="665A462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udostępniać funkcjonalność zarządzania poprzez ustandaryzowany interfejs tj. </w:t>
      </w:r>
      <w:r w:rsidRPr="497B2BD0">
        <w:rPr>
          <w:rFonts w:eastAsia="Times New Roman" w:cstheme="minorBidi"/>
          <w:color w:val="000000" w:themeColor="text1"/>
        </w:rPr>
        <w:t>Rest API oraz posiadać wbudowaną możliwość integracji z Terraform.  </w:t>
      </w:r>
    </w:p>
    <w:p w14:paraId="30421F6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pracy w architekturze wysokodostępnej (HA), czyli awaria jednego z komponentów, nie może wpływać na świadczenie usług </w:t>
      </w:r>
    </w:p>
    <w:p w14:paraId="73BBBF6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umożliwiać projektowanie ciągłego wdrażania infrastruktury (z ang. </w:t>
      </w:r>
      <w:r w:rsidRPr="497B2BD0">
        <w:rPr>
          <w:rFonts w:eastAsia="Times New Roman" w:cstheme="minorBidi"/>
          <w:color w:val="000000" w:themeColor="text1"/>
        </w:rPr>
        <w:t>Continuous Deployment ) </w:t>
      </w:r>
    </w:p>
    <w:p w14:paraId="04ABD95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wykonywanie skryptów PowerShell, cmd i innych interpreterów (np. bash) na każdym etapie ciągów wdrożeniowych (również w maszynach wirtualnych)  </w:t>
      </w:r>
    </w:p>
    <w:p w14:paraId="4FBCEA1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integrację z oprogramowaniem Ansible Tower w wersji komercyjnej, poprzez gotowe rozszerzenie firmy zewnętrznej – funkcjonalność rozszerzenia musi obejmować co najmniej wykorzystanie obiektów z Ansible Tower w wersji komercyjnej w ramach tworzenia szablonu usługi w rozwiązaniu, jak również operacje dnia drugiego takie jak rejestracja lub wygaszenie aplikacji </w:t>
      </w:r>
    </w:p>
    <w:p w14:paraId="1D6D634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umożliwiać integrację z kontenerami tworzonymi w obrębie systemów operacyjnych, np. </w:t>
      </w:r>
      <w:r w:rsidRPr="497B2BD0">
        <w:rPr>
          <w:rFonts w:eastAsia="Times New Roman" w:cstheme="minorBidi"/>
          <w:color w:val="000000" w:themeColor="text1"/>
        </w:rPr>
        <w:t>Linux w celu automatycznej ich instalacji oraz konfiguracji. </w:t>
      </w:r>
    </w:p>
    <w:p w14:paraId="0885618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natywną integrację z platformą Kubernetes, co najmniej z rozwiązaniami VMware Kubernetess Services lub Redhat OpenShift. </w:t>
      </w:r>
    </w:p>
    <w:p w14:paraId="7FFA176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Oferowane oprogramowanie musi umożliwiać tworzenie/wdrażanie klastrów Kubernetes/maszyn wirtualnych na platformie VMware Kubernetess Services z wymaganą konfiguracją zapisywaną w formacie YAML. </w:t>
      </w:r>
    </w:p>
    <w:p w14:paraId="3860DB8E" w14:textId="77777777" w:rsidR="00805EBC" w:rsidRPr="00805EBC" w:rsidRDefault="00805EBC" w:rsidP="497B2BD0">
      <w:pPr>
        <w:spacing w:after="0" w:line="240" w:lineRule="auto"/>
        <w:ind w:left="270"/>
        <w:textAlignment w:val="baseline"/>
        <w:rPr>
          <w:rFonts w:eastAsia="Times New Roman" w:cstheme="minorBidi"/>
          <w:lang w:eastAsia="pl-PL"/>
        </w:rPr>
      </w:pPr>
      <w:r w:rsidRPr="497B2BD0">
        <w:rPr>
          <w:rFonts w:eastAsia="Times New Roman" w:cstheme="minorBidi"/>
          <w:color w:val="000000" w:themeColor="text1"/>
        </w:rPr>
        <w:t> </w:t>
      </w:r>
    </w:p>
    <w:p w14:paraId="76D3AA47"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zbierania, korelowania i analizowania logów Zamawiający wymaga:</w:t>
      </w:r>
      <w:r w:rsidRPr="004A4523">
        <w:rPr>
          <w:rFonts w:eastAsia="Times New Roman" w:cstheme="minorBidi"/>
          <w:color w:val="000000" w:themeColor="text1"/>
          <w:lang w:val="pl-PL"/>
        </w:rPr>
        <w:t> </w:t>
      </w:r>
    </w:p>
    <w:p w14:paraId="313861E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centralnego gromadzenia i analizy wszystkich logów z urządzeń fizycznych wykorzystujących technologię „Syslog” </w:t>
      </w:r>
    </w:p>
    <w:p w14:paraId="5B0FA06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integrować się z wymaganym w przedmiotowym postępowaniu oprogramowaniem do monitorowania w ten sposób, że z poziomu konsoli użytkownika oprogramowania do monitorowania musi istnieć możliwość uzyskania natychmiastowego dostępu do logów konkretnego urządzenia fizycznego  </w:t>
      </w:r>
    </w:p>
    <w:p w14:paraId="018A251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personalizację i wizualizację logów w postaci wykresów minimum: liniowych, kołowych i słupkowych </w:t>
      </w:r>
    </w:p>
    <w:p w14:paraId="2BBE366E"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 pełni integrować się z zaoferowanym oprogramowaniem do zarządzania klastrem wirtualizacyjnym </w:t>
      </w:r>
    </w:p>
    <w:p w14:paraId="3B3AE79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wbudowaną bazę wiedzy dotycząca logów oraz zdarzeń dla platformy wirtualizacyjnej VMware </w:t>
      </w:r>
    </w:p>
    <w:p w14:paraId="5DD351B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posiadać możliwość udostępniania raportów za pomocą URL kierującego do systemu logowania wysyłanego do odbiorcy </w:t>
      </w:r>
    </w:p>
    <w:p w14:paraId="0EF321D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łatwą korelację wybranych zdarzeń w infrastrukturze fizycznej/wirtualnej oraz ich graficzną prezentację  </w:t>
      </w:r>
    </w:p>
    <w:p w14:paraId="206603B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personalizacji interfejsu graficznego w zależności od użytkownika/operatora  </w:t>
      </w:r>
    </w:p>
    <w:p w14:paraId="04A8FEF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łatwe i szybkie przeszukiwanie logów w oparciu o zdefiniowane przez użytkownika kryteria  </w:t>
      </w:r>
    </w:p>
    <w:p w14:paraId="624AE74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implementacji dedykowanych modułów do analizy logów innych urządzeń fizycznych np. macierzy dyskowych, przełączników LAN itp., tak aby analiza i korelacja wszystkich wiadomości systemowych mogła odbywać się z jednej konsoli zarządzającej </w:t>
      </w:r>
    </w:p>
    <w:p w14:paraId="6E9797E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mechanizmy efektywnej analizy wszystkich rodzajów logów, takich jak np. logi aplikacji, logi sieciowe, pliki konfiguracyjne, informacje, dane wydajnościowe, zrzuty awaryjne itp., a także logów ‘nieustrukturyzowanych”  </w:t>
      </w:r>
    </w:p>
    <w:p w14:paraId="48ABAEE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definiowanie struktury dla logów nieustrukturyzowanych </w:t>
      </w:r>
    </w:p>
    <w:p w14:paraId="7D624F2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raportowania utylizacji klastra wytworzonego na potrzeby przyjmowania dużych obciążeń EPS oraz przedstawiania tego zużycia w postaci grafów </w:t>
      </w:r>
    </w:p>
    <w:p w14:paraId="3F83669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dawać możliwość zabezpieczenia kanału wysyłania logów na zewnątrz oprogramowania za pomocą SSL </w:t>
      </w:r>
    </w:p>
    <w:p w14:paraId="2F032CA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granularnej aktualizacji pojedynczych agentów zainstalowanych na systemach operacyjnych </w:t>
      </w:r>
    </w:p>
    <w:p w14:paraId="27D6052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 zaoferowanym oprogramowaniu uprawnienia do interfejsu prezentacji i analizy logów muszą dopuszczać rozłączność z uprawnieniami do infrastruktury, z której zbierane są logi </w:t>
      </w:r>
    </w:p>
    <w:p w14:paraId="589058E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generowanie i eksportowanie dowolnych raportów związanych z zarejestrowanymi zdarzeniami i logami. Oprogramowanie musi pozwalać na tworzenie raportów, które można wysyłać za pomocą zdefiniowanych parametrów czasowych (ang. schedule)  </w:t>
      </w:r>
    </w:p>
    <w:p w14:paraId="34AF3E1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stworzenie klastra składającego się co najmniej 18 węzłów, z którego każdy ma wydajność 15 000 EPS (ang. </w:t>
      </w:r>
      <w:r w:rsidRPr="001357DA">
        <w:rPr>
          <w:rFonts w:eastAsia="Times New Roman" w:cstheme="minorBidi"/>
          <w:color w:val="000000" w:themeColor="text1"/>
          <w:lang w:val="pl-PL"/>
        </w:rPr>
        <w:t>Events Per Second), co sumarycznie daje 270 000 EPS oraz 60 TB przestrzeni dyskowej </w:t>
      </w:r>
    </w:p>
    <w:p w14:paraId="41ED6CE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wsparcie dla transformacji logów takich jak: filtrowanie logów (Log Filtering), przekazywanie logów do innych systemów (Forwarding) i maskowanie/anonimizowanie logów (Masking) </w:t>
      </w:r>
    </w:p>
    <w:p w14:paraId="4C7748A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logowania zdarzeń z platformy Kubernetes za pomocą agenta fluentd </w:t>
      </w:r>
    </w:p>
    <w:p w14:paraId="172C43F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mieć możliwość określania czasu retencji danych, tzn. </w:t>
      </w:r>
      <w:r w:rsidRPr="001357DA">
        <w:rPr>
          <w:rFonts w:eastAsia="Times New Roman" w:cstheme="minorBidi"/>
          <w:color w:val="000000" w:themeColor="text1"/>
          <w:lang w:val="pl-PL"/>
        </w:rPr>
        <w:t xml:space="preserve">Administrator w konsoli graficznej do zarządzania platformą do zbierania i korelacji logów musi mieć możliwość określenia czasu po jakim zebrane logi będą archiwizowane (eksportowane) na zewnętrznej macierzy dyskowej po protokole NFS. </w:t>
      </w:r>
      <w:r w:rsidRPr="004A4523">
        <w:rPr>
          <w:rFonts w:eastAsia="Times New Roman" w:cstheme="minorBidi"/>
          <w:color w:val="000000" w:themeColor="text1"/>
          <w:lang w:val="pl-PL"/>
        </w:rPr>
        <w:t xml:space="preserve">Dodatkowo wymaga się, aby retencja mogła </w:t>
      </w:r>
      <w:r w:rsidRPr="004A4523">
        <w:rPr>
          <w:rFonts w:eastAsia="Times New Roman" w:cstheme="minorBidi"/>
          <w:color w:val="000000" w:themeColor="text1"/>
          <w:lang w:val="pl-PL"/>
        </w:rPr>
        <w:lastRenderedPageBreak/>
        <w:t>być ustawiana granularnie, tj. np. inny czas retencji dla logów z urządzeń klasy firewall, a inny czas retencji dla logów z hyperwizorów </w:t>
      </w:r>
    </w:p>
    <w:p w14:paraId="40CEEBC9" w14:textId="227E414D" w:rsidR="00805EBC" w:rsidRPr="00A2203E"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instalacji swoich agentów na systemach operacyjnych Windows i Linux w celu zbierania z nich logów. Zaoferowane oprogramowanie musi posiadać możliwość granularnej aktualizacji oraz konfiguracji poszczególnych agentów zainstalowanych na systemach operacyjnych.  </w:t>
      </w:r>
    </w:p>
    <w:p w14:paraId="5D385E4D" w14:textId="77777777" w:rsidR="00805EBC" w:rsidRPr="00805EBC" w:rsidRDefault="00805EBC" w:rsidP="497B2BD0">
      <w:pPr>
        <w:spacing w:after="0" w:line="240" w:lineRule="auto"/>
        <w:textAlignment w:val="baseline"/>
        <w:rPr>
          <w:rFonts w:eastAsia="Times New Roman" w:cstheme="minorBidi"/>
          <w:lang w:eastAsia="pl-PL"/>
        </w:rPr>
      </w:pPr>
      <w:r w:rsidRPr="497B2BD0">
        <w:rPr>
          <w:rFonts w:eastAsia="Times New Roman" w:cstheme="minorBidi"/>
          <w:color w:val="000000" w:themeColor="text1"/>
        </w:rPr>
        <w:t> </w:t>
      </w:r>
    </w:p>
    <w:p w14:paraId="56869978"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tworzenia platformy konteneryzacyjnej opartej na Kubernetes Zamawiający wymaga:</w:t>
      </w:r>
      <w:r w:rsidRPr="004A4523">
        <w:rPr>
          <w:rFonts w:eastAsia="Times New Roman" w:cstheme="minorBidi"/>
          <w:color w:val="000000" w:themeColor="text1"/>
          <w:lang w:val="pl-PL"/>
        </w:rPr>
        <w:t> </w:t>
      </w:r>
    </w:p>
    <w:p w14:paraId="04BA873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być certyfikowane przez Cloud Native Computing Foundation (CNCF) w ramach programu certyfikacji zgodności z oprogramowaniem Kubernetes. </w:t>
      </w:r>
      <w:r w:rsidRPr="497B2BD0">
        <w:rPr>
          <w:rFonts w:eastAsia="Times New Roman" w:cstheme="minorBidi"/>
          <w:color w:val="000000" w:themeColor="text1"/>
        </w:rPr>
        <w:t>Link to strony CNCF </w:t>
      </w:r>
      <w:hyperlink r:id="rId15">
        <w:r w:rsidRPr="497B2BD0">
          <w:rPr>
            <w:rFonts w:eastAsia="Times New Roman" w:cstheme="minorBidi"/>
            <w:color w:val="000000" w:themeColor="text1"/>
          </w:rPr>
          <w:t>https://www.cncf.io/certification/software-conformance/</w:t>
        </w:r>
      </w:hyperlink>
      <w:r w:rsidRPr="497B2BD0">
        <w:rPr>
          <w:rFonts w:eastAsia="Times New Roman" w:cstheme="minorBidi"/>
          <w:color w:val="000000" w:themeColor="text1"/>
        </w:rPr>
        <w:t>. </w:t>
      </w:r>
    </w:p>
    <w:p w14:paraId="02E1C45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Platforma musi umożliwiać deklaratywne definiowanie limitów zasobów systemowych takich jak pamięć RAM i moc procesora, które będą dostępne dla projektu (grupy obiektów tj. wiele klastrów Kubernetes, maszyn wirtualnych), jak i dla poszczególnych kontenerów aplikacji. </w:t>
      </w:r>
    </w:p>
    <w:p w14:paraId="2A35E70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Platforma musi umożliwiać automatyczne tworzenie i zarządzanie min. 100 klastrami Kubernetes. Licencja czasowa wraz ze wsparciem technicznym nie może ograniczać w żaden sposób tej ilości.  </w:t>
      </w:r>
    </w:p>
    <w:p w14:paraId="70ED55A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Platforma musi umożliwiać uruchamianie wielu aplikacji równocześnie na współdzielonych zasobach sprzętowych umożliwiając budowanie aplikacji pracujących w oparciu o maszyny wirtualne oraz mikro-serwisy działające pod kontrolą klastrów Kubernetes. </w:t>
      </w:r>
    </w:p>
    <w:p w14:paraId="5BFB010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Platforma do automatycznego tworzenia i zarządzania klastrami Kubernetes musi posiadać narzędzia do zarządzania infrastrukturą (automatyczne tworzenie klastrów Kubernetes, modyfikowanie ilości węzłów i ich wielkości (moc CPU, pojemność RAM, pojemność dyskowa), usuwanie klastrów Kubernetes, aktualizowanie do nowszej wersji klastrów Kubernetes) poprzez Cluster API wraz ze wsparciem technicznym producenta całości oferowanej platformy. </w:t>
      </w:r>
    </w:p>
    <w:p w14:paraId="4762D64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Wymagane jest, aby środowisko platformy konteneryzacyjnej mogło być aktualizowane niezależnie od warstwy wirtualizacyjnej. Ponadto wymagane jest, aby w tym samym środowisku mogły pracować klastry Kubernetes w różnych wersjach.  </w:t>
      </w:r>
    </w:p>
    <w:p w14:paraId="35C3949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Platforma do tworzenia i zarządzania klastrami Kubernetes musi umożliwiać pracę w środowiskach zamkniętych (ang. air-gapped enviroments). </w:t>
      </w:r>
    </w:p>
    <w:p w14:paraId="2B278E0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Platforma musi umożliwiać przesyłanie logów do zewnętrznych systemów logowania. </w:t>
      </w:r>
    </w:p>
    <w:p w14:paraId="277FF54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Platforma musi umożliwiać izolację aplikacji przy użyciu technologii kontenerów w taki sposób, że na jednej instancji systemu operacyjnego równocześnie może być uruchomionych wiele odizolowanych aplikacji mających dostęp do ograniczonych zasobów systemowych takich jak pamięć RAM, moc procesora i system plików. </w:t>
      </w:r>
    </w:p>
    <w:p w14:paraId="72F1D672"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Platforma musi zapewniać możliwość tworzenia i uruchomienia maszyn wirtualnych opartych o VMware vSphere przez interfejs Kubernetes i pliki YAML.  </w:t>
      </w:r>
    </w:p>
    <w:p w14:paraId="42BCC6F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Platforma musi zapewniać możliwość realizacji kopii zapasowych środowiska Kubernetes oraz aplikacji zainstalowanych na tej platformie konteneryzacyjnej. </w:t>
      </w:r>
    </w:p>
    <w:p w14:paraId="5F295C13" w14:textId="77777777" w:rsidR="00805EBC" w:rsidRPr="00805EBC" w:rsidRDefault="00805EBC" w:rsidP="497B2BD0">
      <w:pPr>
        <w:spacing w:after="0" w:line="240" w:lineRule="auto"/>
        <w:ind w:left="270"/>
        <w:textAlignment w:val="baseline"/>
        <w:rPr>
          <w:rFonts w:eastAsia="Times New Roman" w:cstheme="minorBidi"/>
          <w:lang w:eastAsia="pl-PL"/>
        </w:rPr>
      </w:pPr>
      <w:r w:rsidRPr="497B2BD0">
        <w:rPr>
          <w:rFonts w:eastAsia="Times New Roman" w:cstheme="minorBidi"/>
          <w:color w:val="000000" w:themeColor="text1"/>
        </w:rPr>
        <w:t> </w:t>
      </w:r>
    </w:p>
    <w:p w14:paraId="50BE3226"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tworzenia i zarządzania sieciami wirtualnymi Zamawiający wymaga:</w:t>
      </w:r>
      <w:r w:rsidRPr="004A4523">
        <w:rPr>
          <w:rFonts w:eastAsia="Times New Roman" w:cstheme="minorBidi"/>
          <w:color w:val="000000" w:themeColor="text1"/>
          <w:lang w:val="pl-PL"/>
        </w:rPr>
        <w:t> </w:t>
      </w:r>
    </w:p>
    <w:p w14:paraId="2B96AF3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oferować możliwość budowy sieci komunikacyjnych (IP) w oparciu o środowiska wirtualne zbudowane na bazie rozwiązania wirtualizatora mocy obliczeniowej zaoferowanego w przedmiotowym postępowaniu. </w:t>
      </w:r>
    </w:p>
    <w:p w14:paraId="4ECC17B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funkcjonalność tworzenia wirtualnych sieci w sposób niezależny od topologii sieci fizycznej i używanych w obrębie tej sieci w protokołów sieciowych  </w:t>
      </w:r>
    </w:p>
    <w:p w14:paraId="06B769D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funkcję tworzenia rozproszonego, wirtualnego przełącznika instalowanego bezpośrednio w jądrze wirtualizatora serwerów (Hypervisor), umożliwiającego tworzenie logicznych segmentów sieci w warstwie L2. </w:t>
      </w:r>
      <w:r w:rsidRPr="001357DA">
        <w:rPr>
          <w:rFonts w:eastAsia="Times New Roman" w:cstheme="minorBidi"/>
          <w:color w:val="000000" w:themeColor="text1"/>
          <w:lang w:val="pl-PL"/>
        </w:rPr>
        <w:t>Wirtualny przełącznik musi być wspierany bezpośrednio przez producenta platformy wirtualizacyjnej serwerów  </w:t>
      </w:r>
    </w:p>
    <w:p w14:paraId="4563BE6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funkcję tworzenia rozproszonego, wirtualnego routera instalowanego bezpośrednio w jądrze wirtualizatora serwerów (Hypervisor), zapewniającego funkcję bramy domyślnej dla środowiska serwerów wirtualnych. Brama domyślna musi działać w trybie rozproszonym. Przełączanie pakietów w warstwie sieci L3 musi odbywać się w obrębie fizycznego serwera, bez wynoszenia ruchu do fizycznych przełączników (tj. poza środowisko wirtualizacyjne) </w:t>
      </w:r>
    </w:p>
    <w:p w14:paraId="1E8BA3A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kreowania segmentów sieci wirtualnej przy użyciu technologii GENEVE (Generic Network Virtualization Encapsulation) lub równoważnej. </w:t>
      </w:r>
    </w:p>
    <w:p w14:paraId="6E12D0C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zapewnić funkcjonalność łączenia (ang. bridging) środowiska zwirtualizowanego opartego o technologię GENEVE oraz niezwirtualizowanego zdefiniowanego za pomocą technologii VLAN-ów. </w:t>
      </w:r>
    </w:p>
    <w:p w14:paraId="62E1481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funkcjonalność wirtualnego routera wspierającego protokół OSPFv2, BGP, BFD. </w:t>
      </w:r>
    </w:p>
    <w:p w14:paraId="7796E7A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funkcjonalność translowania adresów IP zarówno dla ruchu wychodzącego ze środowiska wirtualnego (SNAT) jak i przychodzącego do środowiska wirtualnego (DNAT).  </w:t>
      </w:r>
    </w:p>
    <w:p w14:paraId="7340E67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serwera DHCP w celu dynamicznego nadawania adresów IP dla środowiska obiektów w środowisku zwirtualizowanym. </w:t>
      </w:r>
    </w:p>
    <w:p w14:paraId="1BD5B76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zabezpieczać środowisko wirtualne przed nieautoryzowaną zmianą adresu IP wirtualnej maszyny, poprzez zablokowanie ruchu z i do tej wirtualnej maszyny po zmianie jej adresu IP w sposób nieautoryzowany. </w:t>
      </w:r>
    </w:p>
    <w:p w14:paraId="70E9940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terminowania tuneli IPSeC site-to-site z uwierzytelnieniem za pomocą współdzielonego klucza ( pre shared key ) lub certyfikatu. </w:t>
      </w:r>
    </w:p>
    <w:p w14:paraId="4BDFBCE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przekierowanie wybranego ruchu warstwy 2 modelu ISO OSI do rozwiązania firm trzecich z obszaru bezpieczeństwa  </w:t>
      </w:r>
    </w:p>
    <w:p w14:paraId="615FFD4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wsparcia mechanizmu VRF w obrębie wirtualizacji sieci </w:t>
      </w:r>
    </w:p>
    <w:p w14:paraId="3A839E0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Platforma musi umożliwiać budowanie odizolowanych środowisk sieciowych w ramach chmury prywatnej, pozwalających przypisanym do nich administratorom samodzielnie administrować tymi środowiskami. Wymagane jest, aby segmenty sieciowe działające w każdym z </w:t>
      </w:r>
      <w:r w:rsidRPr="004A4523">
        <w:rPr>
          <w:rFonts w:eastAsia="Times New Roman" w:cstheme="minorBidi"/>
          <w:color w:val="000000" w:themeColor="text1"/>
          <w:lang w:val="pl-PL"/>
        </w:rPr>
        <w:lastRenderedPageBreak/>
        <w:t xml:space="preserve">odizolowanych środowisk VPC (ang. </w:t>
      </w:r>
      <w:r w:rsidRPr="001357DA">
        <w:rPr>
          <w:rFonts w:eastAsia="Times New Roman" w:cstheme="minorBidi"/>
          <w:color w:val="000000" w:themeColor="text1"/>
          <w:lang w:val="pl-PL"/>
        </w:rPr>
        <w:t>Virtual Private Cloud) mogły posiadać taką samą adresacje sieciową jak inne segmenty stworzone w innych VPC w tej samej chmurze. </w:t>
      </w:r>
    </w:p>
    <w:p w14:paraId="665320B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Wymagane jest, aby tworzenie VPC oraz tworzenie i zmiany segmentów sieciowych w VPC odbywało się poprzez interfejs graficzny. </w:t>
      </w:r>
    </w:p>
    <w:p w14:paraId="1E1B6EC4" w14:textId="3D095CB7" w:rsidR="00805EBC" w:rsidRPr="00805EBC" w:rsidRDefault="00805EBC" w:rsidP="497B2BD0">
      <w:pPr>
        <w:pStyle w:val="Akapitzlist"/>
        <w:numPr>
          <w:ilvl w:val="0"/>
          <w:numId w:val="0"/>
        </w:numPr>
        <w:spacing w:after="0" w:line="240" w:lineRule="auto"/>
        <w:ind w:left="2160"/>
        <w:textAlignment w:val="baseline"/>
        <w:rPr>
          <w:rFonts w:eastAsia="Times New Roman" w:cstheme="minorBidi"/>
          <w:color w:val="000000"/>
          <w:lang w:val="pl-PL" w:eastAsia="pl-PL"/>
        </w:rPr>
      </w:pPr>
    </w:p>
    <w:p w14:paraId="1D751DF6"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monitorowania i analizowania sieci oraz polityk firewall w sieciach wirtualnych i fizycznych Zamawiający wymaga:</w:t>
      </w:r>
      <w:r w:rsidRPr="004A4523">
        <w:rPr>
          <w:rFonts w:eastAsia="Times New Roman" w:cstheme="minorBidi"/>
          <w:color w:val="000000" w:themeColor="text1"/>
          <w:lang w:val="pl-PL"/>
        </w:rPr>
        <w:t> </w:t>
      </w:r>
    </w:p>
    <w:p w14:paraId="310B282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analizowania przepływów sieciowych (w tym IPFIX) w warstwie sieciowej wirtualizacji opartej o rozwiązanie VMware vSphere oraz dla urządzeń sieciowych (minimum Netflow). </w:t>
      </w:r>
    </w:p>
    <w:p w14:paraId="14104C7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tworzenia raportów przepływów z informacją uwzględniającą adresy IP oraz porty TCP/UDP dla środowiska wirtualnego. Poprzez raporty przepływów Zamawiający rozumie informację o ruchu sieciowym z konkretnej maszyny wirtualnej do innej konkretnej maszyny wirtualnej </w:t>
      </w:r>
    </w:p>
    <w:p w14:paraId="5051509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posiadania wbudowanego kolektora zebranego ruchu sieciowego możliwego do użycia w celu analizy ruchu  </w:t>
      </w:r>
    </w:p>
    <w:p w14:paraId="5A8D538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mieć możliwość wizualizacji (przedstawienia w postaci graficznej) ścieżki logicznej i przejść w relacji maszyna wirtualna do maszyny wirtualnej, wskazania komponentów sieciowych w topologii logicznej i fizycznej uwzględniając przełączniki, routery, firewall’e wspierane przez oprogramowanie oraz połączenia między nimi z uwzględnieniem komponentów wirtualnych (minimum host i maszyna wirtualna)  </w:t>
      </w:r>
    </w:p>
    <w:p w14:paraId="7ACAFF8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wizualizacji w formie graficznej przepływów pomiędzy minimum sieciami wirtualnymi, podsieciami, zdefiniowanymi aplikacjami oraz grupami bezpieczeństwa  </w:t>
      </w:r>
    </w:p>
    <w:p w14:paraId="58B96D1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wizualizacji aplikacji działających w sieci klienta oraz wizualizacji zależności zarówno, pomiędzy maszynami wirtualnymi należącymi do tej aplikacji jak i ruchem zewnętrznym, wychodzącym i wchodzącym do maszyn wirtualnych odpowiedzialnych za tą aplikacje wraz z geolokalizacją zapytań. </w:t>
      </w:r>
    </w:p>
    <w:p w14:paraId="5C9B6BE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powinno posiadać moduł analityczny pozwalający określenie progów dla wolumenu ruchu powiązanego z danymi maszynami wirtualnymi, wykrywający w sposób automatyczny przekroczenia tych progów </w:t>
      </w:r>
    </w:p>
    <w:p w14:paraId="5187D84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informowania o źródłach generujących największą liczbę ruchu sieciowego </w:t>
      </w:r>
    </w:p>
    <w:p w14:paraId="6382228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moduł wsparcia procesu poszukiwania błędów (troubleshooting). </w:t>
      </w:r>
    </w:p>
    <w:p w14:paraId="1274122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wspierać proces automatycznego odkrywania i mapowania ruchu sieciowego aplikacji na podstawie wykrytych przepływów generowanych przez aplikację </w:t>
      </w:r>
    </w:p>
    <w:p w14:paraId="09E92BF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wizualizacji przepływów sieciowych do klastrów kontenerów działających w oparciu o rozwiązanie Kubernetes (minimum OpenShift ). </w:t>
      </w:r>
    </w:p>
    <w:p w14:paraId="5148C61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konfigurowania i zarządzania okresem retencji gromadzonych danych  </w:t>
      </w:r>
    </w:p>
    <w:p w14:paraId="6FE39FD7" w14:textId="20171ABA"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posiadać możliwość analizy i przedstawiania wyników z tej analizy dla ruchu sieciowego na podstawie fabrycznie zaimplementowanych wytycznych co do zgodności ze standardem bezpieczeństwa PCI (Payment Card Industry)</w:t>
      </w:r>
      <w:r w:rsidR="00A2203E" w:rsidRPr="004A4523">
        <w:rPr>
          <w:rFonts w:eastAsia="Times New Roman" w:cstheme="minorBidi"/>
          <w:color w:val="000000" w:themeColor="text1"/>
          <w:lang w:val="pl-PL"/>
        </w:rPr>
        <w:t>.</w:t>
      </w:r>
    </w:p>
    <w:p w14:paraId="0A77EC40" w14:textId="77777777" w:rsidR="00805EBC" w:rsidRPr="00805EBC" w:rsidRDefault="00805EBC" w:rsidP="497B2BD0">
      <w:pPr>
        <w:spacing w:after="0" w:line="240" w:lineRule="auto"/>
        <w:textAlignment w:val="baseline"/>
        <w:rPr>
          <w:rFonts w:eastAsia="Times New Roman" w:cstheme="minorBidi"/>
          <w:lang w:eastAsia="pl-PL"/>
        </w:rPr>
      </w:pPr>
      <w:r w:rsidRPr="497B2BD0">
        <w:rPr>
          <w:rFonts w:eastAsia="Times New Roman" w:cstheme="minorBidi"/>
          <w:color w:val="000000" w:themeColor="text1"/>
        </w:rPr>
        <w:t> </w:t>
      </w:r>
    </w:p>
    <w:p w14:paraId="35AF1184"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wirtualizacji przestrzeni dyskowych Zamawiający wymaga: </w:t>
      </w:r>
      <w:r w:rsidRPr="004A4523">
        <w:rPr>
          <w:rFonts w:eastAsia="Times New Roman" w:cstheme="minorBidi"/>
          <w:color w:val="000000" w:themeColor="text1"/>
          <w:lang w:val="pl-PL"/>
        </w:rPr>
        <w:t> </w:t>
      </w:r>
    </w:p>
    <w:p w14:paraId="183FCC9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zbudowanie współdzielonej przestrzeni dyskowej w oparciu o dyski wewnętrzne serwerów fizycznych.  </w:t>
      </w:r>
    </w:p>
    <w:p w14:paraId="6299B72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Komponent do wirtualizacji przestrzeni dyskowych należy dostarczyć w licencjonowaniu per 1 TiB (Tebibajt). </w:t>
      </w:r>
    </w:p>
    <w:p w14:paraId="3E14CA6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Ilość TiB zaoferowanego oprogramowania do wirtualizacji przestrzeni dyskowych musi być równa liczbie fizycznych rdzeni zaoferowanych w oprogramowaniu do wirtulizacji mocy obliczeniowej.  </w:t>
      </w:r>
    </w:p>
    <w:p w14:paraId="3EA6C7A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Każdy serwer fizyczny, na którym zostanie zainstalowane zaoferowane oprogramowanie, musi dostarczać zarówno moc obliczeniową do klastra (CPU i RAM), jak również przestrzeń dyskową definiowaną programowo (eng. Software Defined Storage). Powyższa funkcjonalność musi dać możliwość utworzenia przestrzeni dyskowej złożonej z 64 hostów w przypadku budowy pojedynczego a nie rozciągniętego w dwóch lokalizacjach klastra </w:t>
      </w:r>
    </w:p>
    <w:p w14:paraId="1F4769B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System powinien wspierać następujące konfiguracje: hybrydowa - w oparciu o dyski SSD i HDD oraz all-flash - w oparciu o dyski SSD (SAS/SATA/NVMe).  </w:t>
      </w:r>
    </w:p>
    <w:p w14:paraId="11AFE6A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System powinien wspierać konfiguracje złożone wyłącznie z dysków NVMe (o parametrach 3 DWPD - “drive writes per day” - lub 1 DWPD). </w:t>
      </w:r>
    </w:p>
    <w:p w14:paraId="2430659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 przypadku potrzeby wykonania rozwiązania opartego na zaoferowanym oprogramowaniu, posiadającego wyłącznie dyski SSD, zaoferowane oprogramowanie musi zapewniać możliwość optymalizacji wydajności poprzez wbudowaną funkcjonalność „cache’owania” operacji zapisu. </w:t>
      </w:r>
    </w:p>
    <w:p w14:paraId="6FB6324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W przypadku potrzeby wykonania rozwiązania opartego na zaoferowanym oprogramowaniu, posiadającego dyski mieszane, tj. </w:t>
      </w:r>
      <w:r w:rsidRPr="001357DA">
        <w:rPr>
          <w:rFonts w:eastAsia="Times New Roman" w:cstheme="minorBidi"/>
          <w:color w:val="000000" w:themeColor="text1"/>
          <w:lang w:val="pl-PL"/>
        </w:rPr>
        <w:t>SSD i HDD, zaoferowane oprogramowanie musi zapewniać możliwość optymalizacji wydajności poprzez wbudowaną funkcjonalność „cache’owania” operacji zapisu i odczytu. </w:t>
      </w:r>
    </w:p>
    <w:p w14:paraId="3BB411F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W przypadku potrzeby wykonania rozwiązania opartego na zaoferowanym oprogramowaniu posiadającego dyski mieszane, tj. </w:t>
      </w:r>
      <w:r w:rsidRPr="001357DA">
        <w:rPr>
          <w:rFonts w:eastAsia="Times New Roman" w:cstheme="minorBidi"/>
          <w:color w:val="000000" w:themeColor="text1"/>
          <w:lang w:val="pl-PL"/>
        </w:rPr>
        <w:t>SSD i HDD, zaoferowane oprogramowanie musi posiadać funkcjonalność rezerwacji dla poszczególnych maszyn wirtualnych, części dysku „cache” wykonującego funkcję odczytu. </w:t>
      </w:r>
    </w:p>
    <w:p w14:paraId="0621AC2A"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wspierać technologie NVMe i “cache’owanie” operacji zapisu z wykorzystaniem dysków NVMe. </w:t>
      </w:r>
    </w:p>
    <w:p w14:paraId="54D677A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wspierać technologie NVMe i posiadać wbudowaną możliwość „cache’owania”, bez dedykowanych w tym celu dysków, dzięki czemu wszystkie potrzeby w zakresie wydajności i pojemności będą realizowane przez te same urządzenia pamięci masowej (dyski). </w:t>
      </w:r>
    </w:p>
    <w:p w14:paraId="42B9754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rozwiązanie musi umożliwiać konfigurację serwerów fizycznych klasy all-NVMe. </w:t>
      </w:r>
    </w:p>
    <w:p w14:paraId="5FD4C0F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posiadać możliwość aktualizacji i kontroli wersji oprogramowania do wirtualizacji pamięci masowej w ramach klastra serwerów z poziomu centralnej konsoli zarządzającej. Dodatkowo centralna konsola zarządzająca musi posiadać </w:t>
      </w:r>
      <w:r w:rsidRPr="004A4523">
        <w:rPr>
          <w:rFonts w:eastAsia="Times New Roman" w:cstheme="minorBidi"/>
          <w:color w:val="000000" w:themeColor="text1"/>
          <w:lang w:val="pl-PL"/>
        </w:rPr>
        <w:lastRenderedPageBreak/>
        <w:t>funkcjonalność aktualizacji firmware komponentów serwera fizycznego (dyski, kontrolery, karty sieciowe) z poziomu konsoli zarządzającej wirtualizatora. Konsola zarządzająca musi mieć możliwość automatycznej weryfikacji, czy zainstalowane komponenty serwera posiadają rekomendowaną wersję sterowników i firmware, eliminując ryzyko pracy na nieaktualnych wersjach. Taka funkcjonalność powinna być dostępna dla minimum dwóch producentów serwerów na rynku. </w:t>
      </w:r>
    </w:p>
    <w:p w14:paraId="7FFBA8F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zmniejszania lub zwiększenia przestrzeni dyskowej (odjęcie lub dodanie pojedynczego dysku, odjęcie lub dodanie serwera fizycznego) w sposób niewymagający przestoju i przerwy w dostępie do działających na zmienianym środowisku maszyn wirtualnych. </w:t>
      </w:r>
    </w:p>
    <w:p w14:paraId="748DA80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być zintegrowane z warstwą wirtualizacji w sposób bezpośredni, niewymagający instalacji lub konfiguracji dodatkowych komponentów sprzętowych oraz dodatkowego oprogramowania lub dodatkowych maszyn wirtualnych. </w:t>
      </w:r>
    </w:p>
    <w:p w14:paraId="7974EE0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Konfiguracja, zarządzanie i monitoring przestrzeni dyskowej, w zaoferowanym oprogramowaniu, muszą być zintegrowane z centralną konsolą zarządzającą platformą wirtualizacyjną. </w:t>
      </w:r>
    </w:p>
    <w:p w14:paraId="15DCBE1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obsługiwania dysków wirtualnych maszyn rozmiaru 62TB. </w:t>
      </w:r>
    </w:p>
    <w:p w14:paraId="507544B5"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Funkcjonalności zaoferowanego oprogramowania nie może w żaden sposób ograniczać lub niwelować żadnej funkcjonalności platformy wirtualizacyjnej między innymi w warstwie mechanizmów niezawodnościowych, wydajnościowo-optymalizacyjnych jak i zarządzania.  </w:t>
      </w:r>
    </w:p>
    <w:p w14:paraId="3DD9B11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funkcjonalność konfigurowalnych mechanizmów zabezpieczania danych na wypadek awarii sprzętowej w ramach lokalizacji lub szafy rack w taki sposób, aby poszczególne kopie dysków maszyny wirtualnej nie były umieszczane na hostach w ramach tej samej szafy rack lub w ramach tej samej lokalizacji. </w:t>
      </w:r>
    </w:p>
    <w:p w14:paraId="636C8BC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na oficjalnej stronie producenta tego oprogramowania, listę wspieranych i certyfikowanych konfiguracji serwerowych. Wymagane jest wsparcie dla min. 3 niezależnych producentów sprzętu serwerowego dostępnego na terenie Unii Europejskiej. </w:t>
      </w:r>
    </w:p>
    <w:p w14:paraId="563C821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nie może wprowadzać ograniczenia, aby na etapie rozbudowy przestrzeni dyskowej wymagana była rozbudowa jedynie o serwery fizyczne producenta wykorzystane na etapie przed rozbudową. W przypadku rozbudowy o kolejne serwery fizyczne, wytworzone na podstawie zaoferowanego oprogramowania, rozwiązanie nie może wprowadzać wymogu, aby w kolejnych dostarczanych serwerach fizycznych wymagana była instalacja komponentów sprzętowych oferowanych tylko przez jednego dostawcę/producenta (np. dyski, adaptery, specjalizowane karty i kontrolery).  </w:t>
      </w:r>
    </w:p>
    <w:p w14:paraId="6A57191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funkcjonalność możliwości rozbudowy i skalowania zarówno mocy obliczeniowej, pojemności przestrzeni cache, jak i pojemności przestrzeni dyskowej (w ramach istniejącej infrastruktury serwerów fizycznych) bez konieczności dodawania kolejnych serwerów fizycznych. </w:t>
      </w:r>
    </w:p>
    <w:p w14:paraId="2A6ABA2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zapewniać funkcjonalność możliwości rozbudowy i skalowania zarówno mocy obliczeniowej, jak i pojemności przestrzeni dyskowej (w ramach </w:t>
      </w:r>
      <w:r w:rsidRPr="004A4523">
        <w:rPr>
          <w:rFonts w:eastAsia="Times New Roman" w:cstheme="minorBidi"/>
          <w:color w:val="000000" w:themeColor="text1"/>
          <w:lang w:val="pl-PL"/>
        </w:rPr>
        <w:lastRenderedPageBreak/>
        <w:t>istniejącej infrastruktury serwerów fizycznych) bez konieczności dodawania kolejnych serwerów fizycznych. </w:t>
      </w:r>
    </w:p>
    <w:p w14:paraId="5B73935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rozbudowy oferowanej przestrzeni dyskowej poprzez dodanie pojedynczego dysku lub dodanie jednego lub więcej serwera fizycznego w sposób niewymagający przestoju i przerwy w dostępie do działających usług wirtualnych. </w:t>
      </w:r>
    </w:p>
    <w:p w14:paraId="7BE7C358"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ochrony danych przed utratą ich integralności za pomocą weryfikacji sum kontrolnych. Suma kontrolna musi być liczona w momencie wykonania przez maszynę wirtualną operacji IO write już na poziomie wirtualizatora.  </w:t>
      </w:r>
    </w:p>
    <w:p w14:paraId="053E124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zarządzanie warstwą wirtualizacji mocy obliczeniowej i pamięci masowej bez potrzeby otwierania dostępu poprzez protokół SSH.  </w:t>
      </w:r>
    </w:p>
    <w:p w14:paraId="394F619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umożliwiać tworzenie wysoko dostępnego klastra przestrzeni dyskowej w scenariuszu dla tzw. </w:t>
      </w:r>
      <w:r w:rsidRPr="001357DA">
        <w:rPr>
          <w:rFonts w:eastAsia="Times New Roman" w:cstheme="minorBidi"/>
          <w:color w:val="000000" w:themeColor="text1"/>
          <w:lang w:val="pl-PL"/>
        </w:rPr>
        <w:t xml:space="preserve">„oddziału zdalnego”, zbudowanego w oparciu o min. 2 serwery fizyczne i min. dwie lokalizacje. </w:t>
      </w:r>
      <w:r w:rsidRPr="004A4523">
        <w:rPr>
          <w:rFonts w:eastAsia="Times New Roman" w:cstheme="minorBidi"/>
          <w:color w:val="000000" w:themeColor="text1"/>
          <w:lang w:val="pl-PL"/>
        </w:rPr>
        <w:t>Architektura systemu musi mieć możliwość dołączania kolejnych lokalizacji „oddziałów zdalnych” w liczbie do 64.  </w:t>
      </w:r>
    </w:p>
    <w:p w14:paraId="355FC21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natywną integrację (bez skryptów i/lub wtyczek programowych, ang. pluginów) z zaoferowanym w przedmiotowym postępowaniu komponentem do zarządzania klastrami wirtualizacyjnymi. </w:t>
      </w:r>
    </w:p>
    <w:p w14:paraId="35A6875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tworzenia i konfigurowania polityk niezawodnościowych, wydajnościowych i pojemnościowych przypisanych z granulacją na poziomie dysków maszyn wirtualnych tak, aby można było określić min.: liczbę serwerów fizycznych, które mogą ulec awarii jednocześnie, liczbę operacji I/O, użycie funkcji thin-provisioning, stripes. </w:t>
      </w:r>
    </w:p>
    <w:p w14:paraId="50A3B06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udostępniania przestrzeni dyskowej również dla fizycznych systemów operacyjnych w oparciu o technologię iSCSI i umożliwiać zarządzanie dostępnością, pojemnością i wydajnością bez konieczności wyłączania systemów na tej przestrzeni posadowionych („w locie”). </w:t>
      </w:r>
    </w:p>
    <w:p w14:paraId="32B46E4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interfejs API umożliwiający automatyzowanie wdrażania lub modyfikacji konfiguracji systemu. </w:t>
      </w:r>
    </w:p>
    <w:p w14:paraId="4EF6D54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umożliwiać funkcjonalność automatycznego odzyskiwania pojemności dyskowej (przestrzeni dyskowej) zwolnionej na poziomie systemu operacyjnego tj. </w:t>
      </w:r>
      <w:r w:rsidRPr="497B2BD0">
        <w:rPr>
          <w:rFonts w:eastAsia="Times New Roman" w:cstheme="minorBidi"/>
          <w:color w:val="000000" w:themeColor="text1"/>
        </w:rPr>
        <w:t>TRIM/UNMAP (ang. storage space reclamation) </w:t>
      </w:r>
    </w:p>
    <w:p w14:paraId="6E6210C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opcję wykorzystania natywnego dostawcy kluczy szyfrujących, jak również wykorzystania zewnętrznych dostawców. </w:t>
      </w:r>
    </w:p>
    <w:p w14:paraId="432AEE1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włączania na żądanie i wyłączania na żądanie dostępnej w ramach funkcjonalności zaoferowanego oprogramowania deduplikacji i kompresji.  </w:t>
      </w:r>
    </w:p>
    <w:p w14:paraId="60FD115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mieć możliwość włączania na żądanie i wyłączania na żądanie dostępnej w ramach funkcjonalności zaoferowanego oprogramowania kompresji.  </w:t>
      </w:r>
    </w:p>
    <w:p w14:paraId="678E414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mechanizmy optymalizacji wykorzystania przestrzeni dyskowych (ang. erasure coding) dla RAID 5 i RAID 6, konfigurowane per pojedynczy dysk maszyny wirtualnej. </w:t>
      </w:r>
    </w:p>
    <w:p w14:paraId="576ABCA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umożliwiać rozciągnięcie zdefiniowanej przestrzeni dyskowej pomiędzy dwiema fizycznymi lokalizacjami oddalonymi z czasem RTT wynoszącym nie więcej niż 5ms dla warstw sieci L2 lub L3 w ten sposób, by zapis danych następował synchronicznie do obu lokalizacji.  </w:t>
      </w:r>
    </w:p>
    <w:p w14:paraId="34D4ECB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Zaoferowane oprogramowanie musi zapewniać możliwość tworzenia i konfigurowania polityk niezawodnościowych, wydajnościowych i pojemnościowych przypisanych z granulacją na poziomie dysków maszyn wirtualnych tak, aby można było określić min.: liczbę serwerów fizycznych, które mogą ulec awarii jednocześnie, liczbę operacji I/O, użycie funkcji thin-provisioning, stripes, replikację lub jej brak w ramach rozciągniętego klastra. </w:t>
      </w:r>
      <w:r w:rsidRPr="497B2BD0">
        <w:rPr>
          <w:rFonts w:eastAsia="Times New Roman" w:cstheme="minorBidi"/>
          <w:color w:val="000000" w:themeColor="text1"/>
        </w:rPr>
        <w:t>Funkcjonalność klastra opisana została w poprzedzającym podpunkcie. </w:t>
      </w:r>
    </w:p>
    <w:p w14:paraId="67895D2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konfigurowalne mechanizmy zabezpieczania danych na wypadek awarii jednego z dwóch centrów danych (klaster rozciągnięty) w taki sposób, aby poszczególne kopie maszyn wirtualnych były umieszczane zarówno na hostach w ramach tej samej lokalizacji (lokalna protekcja) oraz w ramach dwóch lokalizacji (protekcja na poziomie lokalizacji).  </w:t>
      </w:r>
    </w:p>
    <w:p w14:paraId="1BC8727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szyfrowanie przestrzeni dyskowej przydzielonej do serwerów wirtualnych. Szyfrowanie nie może być realizowane poprzez dyski samoszyfrujące (ang. Self Encrypting Drives). </w:t>
      </w:r>
    </w:p>
    <w:p w14:paraId="73DD423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możliwość uruchomienia usługi NFS. Ta usługa musi być zintegrowana z warstwą wirtualizacji oraz uruchamiania i zarządzana wyłącznie z poziomu centralnej konsoli zarządzającej klastrem wirtualizacyjnym bez potrzeby manualnej instalacji dodatkowych komponentów zewnętrznych. </w:t>
      </w:r>
    </w:p>
    <w:p w14:paraId="0A42D84F"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zapewniać możliwość tworzenia i konfigurowania polityk niezawodnościowych, wydajnościowych i mechanizmy optymalizacji wykorzystania przestrzeni dyskowych (ang. erasure coding) dla RAID 5 i RAID 6, konfigurowane granularnie per zasób NFS/SMB share.  </w:t>
      </w:r>
    </w:p>
    <w:p w14:paraId="4171006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Funkcjonalność usługi NFS w zaoferowanym oprogramowaniu musi współpracować z Kubernetes CSI driver (Container Storage Interface) </w:t>
      </w:r>
    </w:p>
    <w:p w14:paraId="27284D2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w architekturze 2 hostów w klastrze musi pozwalać na wykorzystanie usług plikowych </w:t>
      </w:r>
    </w:p>
    <w:p w14:paraId="50238DD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umożliwiać zamontowanie zdalnych magazynów danych utworzonych w infrastrukturze SDS do istniejącego wirtualizatora, bez potrzeby licencjonowania tegoż wirtualizatora  </w:t>
      </w:r>
    </w:p>
    <w:p w14:paraId="7F04E99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 zaoferowanym oprogramowaniu konfiguracja rozciągniętego klastra musi uwzględniać nie tylko różnorodne scenariusze awarii, ale również warunki odzyskiwania stanu zasobów sprzed awarii. Mechanizm umieszczania utrzyma stan maszyny wirtualnej w tej samej lokalizacji do momentu pełnej resynchronizacji danych, co zapewni, że wszystkie operacje odczytu nie będą przechodzić przez łącze między ośrodkami. </w:t>
      </w:r>
    </w:p>
    <w:p w14:paraId="7A82FF9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Wsparcie dla funkcjonalności NFS/SMB może być realizowane w sieciach IPv6. </w:t>
      </w:r>
    </w:p>
    <w:p w14:paraId="0E93BEF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Oprogramowanie musi wspierać automatyczne zarządzanie domyślną polityką pamięci masowej, tym samym wspierać tworzenie i przypisywanie domyślnej polityki pamięci masowej zaprojektowanej automatycznie dla klastra - w oparciu o rozmiar i typ klastra, funkcja </w:t>
      </w:r>
      <w:r w:rsidRPr="004A4523">
        <w:rPr>
          <w:rFonts w:eastAsia="Times New Roman" w:cstheme="minorBidi"/>
          <w:color w:val="000000" w:themeColor="text1"/>
          <w:lang w:val="pl-PL"/>
        </w:rPr>
        <w:lastRenderedPageBreak/>
        <w:t>automatycznego zarządzania polityką musi wybierać idealny poziom tolerancji awarii i schemat umieszczania danych. Oprogramowanie musi umożliwiać monitorowanie i ostrzeganie użytkownika, jeśli domyślne zasady przechowywania są nieoptymalne. </w:t>
      </w:r>
    </w:p>
    <w:p w14:paraId="5512AAE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Oprogramowanie musi zapewniać mechanizmy optymalizacji wykorzystania przestrzeni dyskowych (ang. erasure coding) dla RAID 5 przy użyciu trzech hostów. </w:t>
      </w:r>
    </w:p>
    <w:p w14:paraId="483251B4"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Oprogramowanie musi wspierać monitorowanie wydajności w czasie rzeczywistym oraz zbierać dane diagnostyczne co najmniej co 30 sekund.  </w:t>
      </w:r>
    </w:p>
    <w:p w14:paraId="4D7549A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Oprogramowanie musi zapewniać możliwość wykonywania operacji deep rekey. Deep rekey odszyfrowuje dane, które zostały zaszyfrowane i zapisane przy użyciu starego klucza szyfrowania i ponownie szyfruje dane przy użyciu nowo wydanych kluczy szyfrowania przed zapisaniem ich w klastrze. </w:t>
      </w:r>
    </w:p>
    <w:p w14:paraId="279818D0"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Rozwiązanie SDS musi posiadać możliwość separacji ruchu maszyna wirtualna-storage z ruchem wewnątrz samego storage. </w:t>
      </w:r>
    </w:p>
    <w:p w14:paraId="10FCA86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Rozwiązanie SDS musi umożliwiać wykonywanie snapshotów dysków maszyn wirtualnych. Dodatkowo administrator platformy musi mieć możliwość zdefiniowania czasu, przez który wykonane snapshoty nie mogą być usuwane oraz modyfikowane.  </w:t>
      </w:r>
    </w:p>
    <w:p w14:paraId="47D60E4D"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Rozwiązanie SDS musi umożliwiać udostępnianie utworzonej przestrzeni dyskowej do innych klastrów wirtualizacyjnych. </w:t>
      </w:r>
    </w:p>
    <w:p w14:paraId="79EF7C5B"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w:t>
      </w:r>
    </w:p>
    <w:p w14:paraId="7382ADD6" w14:textId="77777777" w:rsidR="00805EBC" w:rsidRPr="00805EBC" w:rsidRDefault="00805EBC" w:rsidP="497B2BD0">
      <w:pPr>
        <w:pStyle w:val="Akapitzlist"/>
        <w:spacing w:after="0" w:line="240" w:lineRule="auto"/>
        <w:textAlignment w:val="baseline"/>
        <w:rPr>
          <w:rFonts w:eastAsia="Times New Roman" w:cstheme="minorBidi"/>
          <w:lang w:val="pl-PL" w:eastAsia="pl-PL"/>
        </w:rPr>
      </w:pPr>
      <w:r w:rsidRPr="004A4523">
        <w:rPr>
          <w:rFonts w:eastAsia="Times New Roman" w:cstheme="minorBidi"/>
          <w:b/>
          <w:bCs/>
          <w:color w:val="000000" w:themeColor="text1"/>
          <w:lang w:val="pl-PL"/>
        </w:rPr>
        <w:t>W zakresie zaawansowanej migracji maszyn wirtualnych lub systemów operacyjnych z fizycznych serwerów Zamawiający wymaga: </w:t>
      </w:r>
      <w:r w:rsidRPr="004A4523">
        <w:rPr>
          <w:rFonts w:eastAsia="Times New Roman" w:cstheme="minorBidi"/>
          <w:color w:val="000000" w:themeColor="text1"/>
          <w:lang w:val="pl-PL"/>
        </w:rPr>
        <w:t> </w:t>
      </w:r>
    </w:p>
    <w:p w14:paraId="7753D177"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masowej migracji maszyn wirtualnych, czyli równoległego przenoszenie wielu maszyn wirtualnych przy użyciu protokołów replikacji danych pomiędzy platformą wirtualizacyjną źródłową a docelową . </w:t>
      </w:r>
    </w:p>
    <w:p w14:paraId="6597C3A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przenoszenia pojedynczych maszyny wirtualnych bez przerywania ich działania przy użyciu protokołów replikacji danych pomiędzy platformą wirtualizacyjną źródłową a docelową. </w:t>
      </w:r>
    </w:p>
    <w:p w14:paraId="0A38EC01"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xml:space="preserve"> Zaoferowane oprogramowanie musi posiadać funkcjonalność przenoszenia wyłączonej maszyny wirtualnej przy użyciu protokołu NFC (ang. </w:t>
      </w:r>
      <w:r w:rsidRPr="001357DA">
        <w:rPr>
          <w:rFonts w:eastAsia="Times New Roman" w:cstheme="minorBidi"/>
          <w:color w:val="000000" w:themeColor="text1"/>
          <w:lang w:val="pl-PL"/>
        </w:rPr>
        <w:t>Network File Copy) pomiędzy oprogramowaniem wirtualizacyjnym własnym, a oprogramowaniem wirtualizacyjnym w chmurze publicznej. </w:t>
      </w:r>
    </w:p>
    <w:p w14:paraId="44C2A72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migracji maszyn wirtualnych z użyciem protokołu replikacji, jak dodatkowo z wykorzystaniem przenoszenia migrowanej maszyny wirtualnej w trybie bez przerywania pracy pomiędzy platformą wirtualizacyjną źródłową a docelową. </w:t>
      </w:r>
    </w:p>
    <w:p w14:paraId="7A932CE6"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 Zaoferowane oprogramowanie musi posiadać funkcjonalność migracji systemów operacyjnych (Windows, Linux) z serwerów fizycznych do środowiska wirtualizacyjnego.  </w:t>
      </w:r>
    </w:p>
    <w:p w14:paraId="7B2E7A6C"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optymalizacji wykorzystania sieci WAN.  </w:t>
      </w:r>
    </w:p>
    <w:p w14:paraId="411B7FA3"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bezpieczeństwa transmisji danych, czyli zapewnia kryptografię dla ruchu sieciowego podczas migracji  </w:t>
      </w:r>
    </w:p>
    <w:p w14:paraId="56FC7A89" w14:textId="77777777" w:rsidR="00805EBC" w:rsidRPr="00805EBC"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lastRenderedPageBreak/>
        <w:t>Zaoferowane oprogramowanie musi posiadać funkcjonalność migracji maszyn wirtualnych bez zmiany adresów IP pomiędzy oprogramowaniem wirtualizacyjnym własnym, a oprogramowaniem wirtualizacyjnym w chmurze publicznej. </w:t>
      </w:r>
    </w:p>
    <w:p w14:paraId="2EF5D04F" w14:textId="77777777" w:rsidR="00805EBC" w:rsidRPr="004027D0" w:rsidRDefault="00805EBC" w:rsidP="497B2BD0">
      <w:pPr>
        <w:pStyle w:val="Akapitzlist"/>
        <w:spacing w:after="0" w:line="240" w:lineRule="auto"/>
        <w:textAlignment w:val="baseline"/>
        <w:rPr>
          <w:rFonts w:eastAsia="Times New Roman" w:cstheme="minorBidi"/>
          <w:color w:val="000000"/>
          <w:lang w:val="pl-PL" w:eastAsia="pl-PL"/>
        </w:rPr>
      </w:pPr>
      <w:r w:rsidRPr="004A4523">
        <w:rPr>
          <w:rFonts w:eastAsia="Times New Roman" w:cstheme="minorBidi"/>
          <w:color w:val="000000" w:themeColor="text1"/>
          <w:lang w:val="pl-PL"/>
        </w:rPr>
        <w:t>Zaoferowane oprogramowanie musi posiadać funkcjonalność wsparcia migracji maszyn wirtualnych dla starszych wersji oprogramowania do wirtualizacji VMware vSphere niż wersja 9.  </w:t>
      </w:r>
    </w:p>
    <w:p w14:paraId="4A496E74" w14:textId="7AC5A2D8" w:rsidR="004027D0" w:rsidRPr="004027D0" w:rsidRDefault="004027D0" w:rsidP="004027D0">
      <w:pPr>
        <w:spacing w:after="0" w:line="240" w:lineRule="auto"/>
        <w:ind w:left="720" w:hanging="360"/>
        <w:textAlignment w:val="baseline"/>
        <w:rPr>
          <w:rFonts w:eastAsia="Times New Roman" w:cstheme="minorBidi"/>
          <w:color w:val="000000"/>
          <w:lang w:eastAsia="pl-PL"/>
        </w:rPr>
      </w:pPr>
    </w:p>
    <w:p w14:paraId="274527D0" w14:textId="5AA5F2E7" w:rsidR="00805EBC" w:rsidRPr="004027D0" w:rsidRDefault="00805EBC" w:rsidP="004027D0">
      <w:pPr>
        <w:pStyle w:val="Akapitzlist"/>
        <w:numPr>
          <w:ilvl w:val="0"/>
          <w:numId w:val="7"/>
        </w:numPr>
        <w:spacing w:before="120"/>
        <w:outlineLvl w:val="0"/>
        <w:rPr>
          <w:rFonts w:cstheme="minorBidi"/>
          <w:b/>
          <w:bCs/>
          <w:u w:val="single"/>
          <w:lang w:val="pl-PL"/>
        </w:rPr>
      </w:pPr>
      <w:r w:rsidRPr="004027D0">
        <w:rPr>
          <w:rFonts w:cstheme="minorBidi"/>
          <w:b/>
          <w:bCs/>
          <w:u w:val="single"/>
          <w:lang w:val="pl-PL"/>
        </w:rPr>
        <w:t> </w:t>
      </w:r>
      <w:r w:rsidR="004027D0" w:rsidRPr="004027D0">
        <w:rPr>
          <w:rFonts w:cstheme="minorBidi"/>
          <w:b/>
          <w:bCs/>
          <w:u w:val="single"/>
          <w:lang w:val="pl-PL"/>
        </w:rPr>
        <w:t>Dostawa oprogramowania Red Hat Enterprise Linux</w:t>
      </w:r>
    </w:p>
    <w:p w14:paraId="36C63089" w14:textId="01E00425" w:rsidR="00DE0947" w:rsidRPr="00DE0947" w:rsidRDefault="004027D0" w:rsidP="004027D0">
      <w:pPr>
        <w:pStyle w:val="Akapitzlist"/>
        <w:numPr>
          <w:ilvl w:val="0"/>
          <w:numId w:val="0"/>
        </w:numPr>
        <w:spacing w:before="120"/>
        <w:ind w:left="720"/>
        <w:outlineLvl w:val="0"/>
        <w:rPr>
          <w:rFonts w:cstheme="minorBidi"/>
          <w:lang w:val="pl-PL"/>
        </w:rPr>
      </w:pPr>
      <w:r>
        <w:rPr>
          <w:rFonts w:cstheme="minorBidi"/>
          <w:lang w:val="pl-PL"/>
        </w:rPr>
        <w:t xml:space="preserve">5.1. </w:t>
      </w:r>
      <w:r w:rsidR="00A2203E" w:rsidRPr="004A4523">
        <w:rPr>
          <w:rFonts w:cstheme="minorBidi"/>
          <w:lang w:val="pl-PL"/>
        </w:rPr>
        <w:t>D</w:t>
      </w:r>
      <w:r w:rsidR="00DE0947" w:rsidRPr="004A4523">
        <w:rPr>
          <w:rFonts w:cstheme="minorBidi"/>
          <w:lang w:val="pl-PL"/>
        </w:rPr>
        <w:t>ostaw</w:t>
      </w:r>
      <w:r w:rsidR="00A2203E" w:rsidRPr="004A4523">
        <w:rPr>
          <w:rFonts w:cstheme="minorBidi"/>
          <w:lang w:val="pl-PL"/>
        </w:rPr>
        <w:t>a</w:t>
      </w:r>
      <w:r w:rsidR="00DE0947" w:rsidRPr="004A4523">
        <w:rPr>
          <w:rFonts w:cstheme="minorBidi"/>
          <w:lang w:val="pl-PL"/>
        </w:rPr>
        <w:t xml:space="preserve"> oprogramowania </w:t>
      </w:r>
      <w:r w:rsidR="00A2203E" w:rsidRPr="004A4523">
        <w:rPr>
          <w:rFonts w:cstheme="minorBidi"/>
          <w:lang w:val="pl-PL"/>
        </w:rPr>
        <w:t>Red Hat Enterprise Linux for Virtual Datacenters + Satellite Add-On lub oprogramowania równoważnego </w:t>
      </w:r>
      <w:r w:rsidR="00DE0947" w:rsidRPr="004A4523">
        <w:rPr>
          <w:rFonts w:cstheme="minorBidi"/>
          <w:lang w:val="pl-PL"/>
        </w:rPr>
        <w:t>wraz z gwarancją (subskrypcją w wersji standard) jak w poniższej tabeli: </w:t>
      </w:r>
    </w:p>
    <w:tbl>
      <w:tblPr>
        <w:tblW w:w="9353" w:type="dxa"/>
        <w:tblInd w:w="4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11"/>
        <w:gridCol w:w="3993"/>
        <w:gridCol w:w="1756"/>
        <w:gridCol w:w="2693"/>
      </w:tblGrid>
      <w:tr w:rsidR="00DE0947" w:rsidRPr="00DE0947" w14:paraId="7D01D04F" w14:textId="77777777" w:rsidTr="0E3C54E5">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C40B5A8" w14:textId="77777777" w:rsidR="00DE0947" w:rsidRPr="009E6D9B" w:rsidRDefault="00DE0947" w:rsidP="497B2BD0">
            <w:pPr>
              <w:spacing w:before="120"/>
              <w:ind w:left="360"/>
              <w:outlineLvl w:val="0"/>
              <w:rPr>
                <w:rFonts w:cstheme="minorBidi"/>
              </w:rPr>
            </w:pPr>
            <w:r w:rsidRPr="497B2BD0">
              <w:rPr>
                <w:rFonts w:cstheme="minorBidi"/>
              </w:rPr>
              <w:t>Lp. </w:t>
            </w:r>
          </w:p>
        </w:tc>
        <w:tc>
          <w:tcPr>
            <w:tcW w:w="399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985EF96" w14:textId="77777777" w:rsidR="00DE0947" w:rsidRPr="00DE0947" w:rsidRDefault="00DE0947" w:rsidP="497B2BD0">
            <w:pPr>
              <w:pStyle w:val="Akapitzlist"/>
              <w:numPr>
                <w:ilvl w:val="0"/>
                <w:numId w:val="0"/>
              </w:numPr>
              <w:spacing w:before="120"/>
              <w:ind w:left="720"/>
              <w:jc w:val="both"/>
              <w:outlineLvl w:val="0"/>
              <w:rPr>
                <w:rFonts w:cstheme="minorBidi"/>
                <w:lang w:val="pl-PL"/>
              </w:rPr>
            </w:pPr>
            <w:r w:rsidRPr="497B2BD0">
              <w:rPr>
                <w:rFonts w:cstheme="minorBidi"/>
              </w:rPr>
              <w:t>Nazwa </w:t>
            </w:r>
          </w:p>
        </w:tc>
        <w:tc>
          <w:tcPr>
            <w:tcW w:w="175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2450337" w14:textId="6D0FFBD2" w:rsidR="00DE0947" w:rsidRPr="009E6D9B" w:rsidRDefault="00DE0947" w:rsidP="497B2BD0">
            <w:pPr>
              <w:spacing w:before="120"/>
              <w:ind w:left="720" w:hanging="360"/>
              <w:jc w:val="left"/>
              <w:outlineLvl w:val="0"/>
              <w:rPr>
                <w:rFonts w:cstheme="minorBidi"/>
              </w:rPr>
            </w:pPr>
            <w:r w:rsidRPr="497B2BD0">
              <w:rPr>
                <w:rFonts w:cstheme="minorBidi"/>
              </w:rPr>
              <w:t>Liczba licencji/</w:t>
            </w:r>
            <w:r w:rsidR="009E6D9B" w:rsidRPr="497B2BD0">
              <w:rPr>
                <w:rFonts w:cstheme="minorBidi"/>
              </w:rPr>
              <w:t xml:space="preserve"> </w:t>
            </w:r>
            <w:r w:rsidRPr="497B2BD0">
              <w:rPr>
                <w:rFonts w:cstheme="minorBidi"/>
              </w:rPr>
              <w:t>subskrypcji </w:t>
            </w:r>
          </w:p>
        </w:tc>
        <w:tc>
          <w:tcPr>
            <w:tcW w:w="269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9937E2" w14:textId="77777777" w:rsidR="00DE0947" w:rsidRPr="00DE0947" w:rsidRDefault="00DE0947" w:rsidP="497B2BD0">
            <w:pPr>
              <w:pStyle w:val="Akapitzlist"/>
              <w:numPr>
                <w:ilvl w:val="0"/>
                <w:numId w:val="0"/>
              </w:numPr>
              <w:spacing w:before="120"/>
              <w:ind w:left="720"/>
              <w:jc w:val="both"/>
              <w:outlineLvl w:val="0"/>
              <w:rPr>
                <w:rFonts w:cstheme="minorBidi"/>
                <w:lang w:val="pl-PL"/>
              </w:rPr>
            </w:pPr>
            <w:r w:rsidRPr="497B2BD0">
              <w:rPr>
                <w:rFonts w:cstheme="minorBidi"/>
              </w:rPr>
              <w:t>Czas obowiązywania licencji/subskrypcji </w:t>
            </w:r>
          </w:p>
        </w:tc>
      </w:tr>
      <w:tr w:rsidR="00DE0947" w:rsidRPr="00DE0947" w14:paraId="0B54ADED" w14:textId="77777777" w:rsidTr="0E3C54E5">
        <w:trPr>
          <w:trHeight w:val="300"/>
        </w:trPr>
        <w:tc>
          <w:tcPr>
            <w:tcW w:w="911" w:type="dxa"/>
            <w:tcBorders>
              <w:top w:val="single" w:sz="6" w:space="0" w:color="auto"/>
              <w:left w:val="single" w:sz="6" w:space="0" w:color="auto"/>
              <w:bottom w:val="single" w:sz="6" w:space="0" w:color="auto"/>
              <w:right w:val="single" w:sz="6" w:space="0" w:color="auto"/>
            </w:tcBorders>
            <w:hideMark/>
          </w:tcPr>
          <w:p w14:paraId="49A16687" w14:textId="77777777" w:rsidR="00DE0947" w:rsidRPr="00DE0947" w:rsidRDefault="00DE0947" w:rsidP="497B2BD0">
            <w:pPr>
              <w:pStyle w:val="Akapitzlist"/>
              <w:numPr>
                <w:ilvl w:val="0"/>
                <w:numId w:val="0"/>
              </w:numPr>
              <w:spacing w:before="120"/>
              <w:ind w:left="720"/>
              <w:jc w:val="both"/>
              <w:outlineLvl w:val="0"/>
              <w:rPr>
                <w:rFonts w:cstheme="minorBidi"/>
                <w:lang w:val="pl-PL"/>
              </w:rPr>
            </w:pPr>
            <w:r w:rsidRPr="497B2BD0">
              <w:rPr>
                <w:rFonts w:cstheme="minorBidi"/>
              </w:rPr>
              <w:t>1. </w:t>
            </w:r>
          </w:p>
        </w:tc>
        <w:tc>
          <w:tcPr>
            <w:tcW w:w="3993" w:type="dxa"/>
            <w:tcBorders>
              <w:top w:val="single" w:sz="6" w:space="0" w:color="auto"/>
              <w:left w:val="single" w:sz="6" w:space="0" w:color="auto"/>
              <w:bottom w:val="single" w:sz="6" w:space="0" w:color="auto"/>
              <w:right w:val="single" w:sz="6" w:space="0" w:color="auto"/>
            </w:tcBorders>
            <w:hideMark/>
          </w:tcPr>
          <w:p w14:paraId="4FE71E63" w14:textId="77777777" w:rsidR="00DE0947" w:rsidRPr="004A4523" w:rsidRDefault="00DE0947" w:rsidP="497B2BD0">
            <w:pPr>
              <w:pStyle w:val="Akapitzlist"/>
              <w:numPr>
                <w:ilvl w:val="0"/>
                <w:numId w:val="0"/>
              </w:numPr>
              <w:spacing w:before="120"/>
              <w:ind w:left="720"/>
              <w:jc w:val="both"/>
              <w:outlineLvl w:val="0"/>
              <w:rPr>
                <w:rFonts w:cstheme="minorBidi"/>
              </w:rPr>
            </w:pPr>
            <w:r w:rsidRPr="497B2BD0">
              <w:rPr>
                <w:rFonts w:cstheme="minorBidi"/>
              </w:rPr>
              <w:t>Red Hat Enterprise Linux for Virtual Datacenters + Satellite Add-On lub oprogramowanie równoważne </w:t>
            </w:r>
          </w:p>
        </w:tc>
        <w:tc>
          <w:tcPr>
            <w:tcW w:w="1756" w:type="dxa"/>
            <w:tcBorders>
              <w:top w:val="single" w:sz="6" w:space="0" w:color="auto"/>
              <w:left w:val="single" w:sz="6" w:space="0" w:color="auto"/>
              <w:bottom w:val="single" w:sz="6" w:space="0" w:color="auto"/>
              <w:right w:val="single" w:sz="6" w:space="0" w:color="auto"/>
            </w:tcBorders>
            <w:vAlign w:val="center"/>
            <w:hideMark/>
          </w:tcPr>
          <w:p w14:paraId="70859188" w14:textId="77777777" w:rsidR="00DE0947" w:rsidRPr="00DE0947" w:rsidRDefault="00DE0947" w:rsidP="497B2BD0">
            <w:pPr>
              <w:pStyle w:val="Akapitzlist"/>
              <w:numPr>
                <w:ilvl w:val="0"/>
                <w:numId w:val="0"/>
              </w:numPr>
              <w:spacing w:before="120"/>
              <w:ind w:left="720"/>
              <w:jc w:val="both"/>
              <w:outlineLvl w:val="0"/>
              <w:rPr>
                <w:rFonts w:cstheme="minorBidi"/>
                <w:lang w:val="pl-PL"/>
              </w:rPr>
            </w:pPr>
            <w:r w:rsidRPr="0E3C54E5">
              <w:rPr>
                <w:rFonts w:cstheme="minorBidi"/>
              </w:rPr>
              <w:t>10 </w:t>
            </w:r>
          </w:p>
        </w:tc>
        <w:tc>
          <w:tcPr>
            <w:tcW w:w="2693" w:type="dxa"/>
            <w:tcBorders>
              <w:top w:val="single" w:sz="6" w:space="0" w:color="auto"/>
              <w:left w:val="single" w:sz="6" w:space="0" w:color="auto"/>
              <w:bottom w:val="single" w:sz="6" w:space="0" w:color="auto"/>
              <w:right w:val="single" w:sz="6" w:space="0" w:color="auto"/>
            </w:tcBorders>
            <w:hideMark/>
          </w:tcPr>
          <w:p w14:paraId="4F2CF8E1" w14:textId="6B49C189" w:rsidR="00DE0947" w:rsidRPr="00DE0947" w:rsidRDefault="143E4309" w:rsidP="0E3C54E5">
            <w:pPr>
              <w:pStyle w:val="Akapitzlist"/>
              <w:spacing w:before="120"/>
              <w:jc w:val="both"/>
              <w:outlineLvl w:val="0"/>
              <w:rPr>
                <w:rFonts w:cstheme="minorBidi"/>
                <w:lang w:val="pl-PL"/>
              </w:rPr>
            </w:pPr>
            <w:r w:rsidRPr="0E3C54E5">
              <w:rPr>
                <w:rFonts w:cstheme="minorBidi"/>
              </w:rPr>
              <w:t xml:space="preserve">60 </w:t>
            </w:r>
            <w:r w:rsidR="4F8C7AFE" w:rsidRPr="0E3C54E5">
              <w:rPr>
                <w:rFonts w:cstheme="minorBidi"/>
              </w:rPr>
              <w:t>m</w:t>
            </w:r>
            <w:r w:rsidR="00DE0947" w:rsidRPr="0E3C54E5">
              <w:rPr>
                <w:rFonts w:cstheme="minorBidi"/>
              </w:rPr>
              <w:t>iesięcy </w:t>
            </w:r>
          </w:p>
        </w:tc>
      </w:tr>
    </w:tbl>
    <w:p w14:paraId="46EBA3C2" w14:textId="44C54170" w:rsidR="2B47192A" w:rsidRDefault="00A65211" w:rsidP="00A65211">
      <w:pPr>
        <w:pStyle w:val="Akapitzlist"/>
        <w:numPr>
          <w:ilvl w:val="0"/>
          <w:numId w:val="0"/>
        </w:numPr>
        <w:spacing w:before="120"/>
        <w:ind w:left="720"/>
        <w:outlineLvl w:val="0"/>
        <w:rPr>
          <w:lang w:val="pl-PL"/>
        </w:rPr>
      </w:pPr>
      <w:r>
        <w:rPr>
          <w:rFonts w:ascii="Segoe UI" w:eastAsia="Segoe UI" w:hAnsi="Segoe UI" w:cs="Segoe UI"/>
          <w:color w:val="242424"/>
          <w:sz w:val="21"/>
          <w:szCs w:val="21"/>
          <w:lang w:val="pl-PL"/>
        </w:rPr>
        <w:t xml:space="preserve">5.2. </w:t>
      </w:r>
      <w:r w:rsidR="2B47192A" w:rsidRPr="0E3C54E5">
        <w:rPr>
          <w:rFonts w:ascii="Segoe UI" w:eastAsia="Segoe UI" w:hAnsi="Segoe UI" w:cs="Segoe UI"/>
          <w:color w:val="242424"/>
          <w:sz w:val="21"/>
          <w:szCs w:val="21"/>
          <w:lang w:val="pl-PL"/>
        </w:rPr>
        <w:t>Liczba subskrypcji musi być w ilości pokrywającej wszystkie procesory w oferowanych serwerach i być zgodna z warunkami licencjonowania Red Hat</w:t>
      </w:r>
    </w:p>
    <w:p w14:paraId="4AA11CF0" w14:textId="7636B63C" w:rsidR="00DE0947" w:rsidRPr="00DE0947" w:rsidRDefault="00A65211" w:rsidP="00A65211">
      <w:pPr>
        <w:pStyle w:val="Akapitzlist"/>
        <w:numPr>
          <w:ilvl w:val="0"/>
          <w:numId w:val="0"/>
        </w:numPr>
        <w:spacing w:before="120"/>
        <w:ind w:left="720"/>
        <w:outlineLvl w:val="0"/>
        <w:rPr>
          <w:rFonts w:cstheme="minorBidi"/>
          <w:lang w:val="pl-PL"/>
        </w:rPr>
      </w:pPr>
      <w:r>
        <w:rPr>
          <w:rFonts w:cstheme="minorBidi"/>
          <w:lang w:val="pl-PL"/>
        </w:rPr>
        <w:t xml:space="preserve">5.3. </w:t>
      </w:r>
      <w:r w:rsidR="00DE0947" w:rsidRPr="004A4523">
        <w:rPr>
          <w:rFonts w:cstheme="minorBidi"/>
          <w:lang w:val="pl-PL"/>
        </w:rPr>
        <w:t>Opis dla oprogramowania równoważnego znajduje się w pkt. 5.</w:t>
      </w:r>
      <w:r>
        <w:rPr>
          <w:rFonts w:cstheme="minorBidi"/>
          <w:lang w:val="pl-PL"/>
        </w:rPr>
        <w:t>6</w:t>
      </w:r>
      <w:r w:rsidR="00DE0947" w:rsidRPr="004A4523">
        <w:rPr>
          <w:rFonts w:cstheme="minorBidi"/>
          <w:lang w:val="pl-PL"/>
        </w:rPr>
        <w:t>. </w:t>
      </w:r>
    </w:p>
    <w:p w14:paraId="4D9E17ED" w14:textId="3E991B37" w:rsidR="00DE0947" w:rsidRPr="00A65211" w:rsidRDefault="00A65211" w:rsidP="00A65211">
      <w:pPr>
        <w:pStyle w:val="Akapitzlist"/>
        <w:numPr>
          <w:ilvl w:val="0"/>
          <w:numId w:val="0"/>
        </w:numPr>
        <w:spacing w:before="120"/>
        <w:ind w:left="720"/>
        <w:outlineLvl w:val="0"/>
        <w:rPr>
          <w:rFonts w:cstheme="minorBidi"/>
          <w:lang w:val="pl-PL"/>
        </w:rPr>
      </w:pPr>
      <w:r>
        <w:rPr>
          <w:rFonts w:cstheme="minorBidi"/>
          <w:lang w:val="pl-PL"/>
        </w:rPr>
        <w:t xml:space="preserve">5.4. </w:t>
      </w:r>
      <w:r w:rsidR="00DE0947" w:rsidRPr="004A4523">
        <w:rPr>
          <w:rFonts w:cstheme="minorBidi"/>
          <w:lang w:val="pl-PL"/>
        </w:rPr>
        <w:t>Wykonawca przekaże licencje na nośnikach danych bądź udostępni w formie elektronicznej. </w:t>
      </w:r>
      <w:r w:rsidR="00DE0947" w:rsidRPr="00A65211">
        <w:rPr>
          <w:rFonts w:cstheme="minorBidi"/>
          <w:lang w:val="pl-PL"/>
        </w:rPr>
        <w:t>W przypadku formy elektronicznej Wykonawca przekaże Zamawiającemu klucze licencyjne (aktywacyjne) na adres </w:t>
      </w:r>
      <w:hyperlink r:id="rId16">
        <w:r w:rsidR="00DE0947" w:rsidRPr="00A65211">
          <w:rPr>
            <w:rFonts w:cstheme="minorBidi"/>
            <w:lang w:val="pl-PL"/>
          </w:rPr>
          <w:t>administrator@cez.gov.pl</w:t>
        </w:r>
      </w:hyperlink>
      <w:r w:rsidR="00DE0947" w:rsidRPr="00A65211">
        <w:rPr>
          <w:rFonts w:cstheme="minorBidi"/>
          <w:lang w:val="pl-PL"/>
        </w:rPr>
        <w:t> oraz licencje@cez.gov.pl. </w:t>
      </w:r>
    </w:p>
    <w:p w14:paraId="4508CB98" w14:textId="324F10B8" w:rsidR="00DE0947" w:rsidRPr="00DE0947" w:rsidRDefault="00DE0947" w:rsidP="497B2BD0">
      <w:pPr>
        <w:pStyle w:val="Akapitzlist"/>
        <w:numPr>
          <w:ilvl w:val="0"/>
          <w:numId w:val="0"/>
        </w:numPr>
        <w:spacing w:before="120"/>
        <w:ind w:left="1100"/>
        <w:outlineLvl w:val="0"/>
        <w:rPr>
          <w:rFonts w:cstheme="minorBidi"/>
          <w:lang w:val="pl-PL"/>
        </w:rPr>
      </w:pPr>
    </w:p>
    <w:p w14:paraId="7D7760A7" w14:textId="68C0A84F" w:rsidR="00DE0947" w:rsidRPr="003D6738" w:rsidRDefault="00A65211" w:rsidP="00A65211">
      <w:pPr>
        <w:pStyle w:val="Akapitzlist"/>
        <w:numPr>
          <w:ilvl w:val="0"/>
          <w:numId w:val="0"/>
        </w:numPr>
        <w:spacing w:before="120"/>
        <w:ind w:left="720"/>
        <w:outlineLvl w:val="0"/>
        <w:rPr>
          <w:rFonts w:cstheme="minorBidi"/>
          <w:lang w:val="pl-PL"/>
        </w:rPr>
      </w:pPr>
      <w:r>
        <w:rPr>
          <w:rFonts w:cstheme="minorBidi"/>
          <w:b/>
          <w:bCs/>
        </w:rPr>
        <w:t xml:space="preserve">5.5. </w:t>
      </w:r>
      <w:r w:rsidR="00DE0947" w:rsidRPr="497B2BD0">
        <w:rPr>
          <w:rFonts w:cstheme="minorBidi"/>
          <w:b/>
          <w:bCs/>
        </w:rPr>
        <w:t>Gwarancja/ wsparcie techniczne.</w:t>
      </w:r>
      <w:r w:rsidR="00DE0947" w:rsidRPr="497B2BD0">
        <w:rPr>
          <w:rFonts w:cstheme="minorBidi"/>
        </w:rPr>
        <w:t> </w:t>
      </w:r>
    </w:p>
    <w:p w14:paraId="67C3F016" w14:textId="1EE710AF" w:rsidR="00DE0947" w:rsidRPr="003D6738" w:rsidRDefault="00DE0947" w:rsidP="497B2BD0">
      <w:pPr>
        <w:pStyle w:val="Akapitzlist"/>
        <w:spacing w:before="120"/>
        <w:outlineLvl w:val="0"/>
        <w:rPr>
          <w:rFonts w:cstheme="minorBidi"/>
          <w:lang w:val="pl-PL"/>
        </w:rPr>
      </w:pPr>
      <w:r w:rsidRPr="004A4523">
        <w:rPr>
          <w:rFonts w:cstheme="minorBidi"/>
          <w:lang w:val="pl-PL"/>
        </w:rPr>
        <w:t>Subskrypcja musi obejmować wszystkie fizyczne procesory, na których będzie zainstalowane środowisko wirtualne przeznaczone do uruchamiania maszyn wirtualnych z oferowanym systemem operacyjnym.  </w:t>
      </w:r>
    </w:p>
    <w:p w14:paraId="238BFBA6" w14:textId="32F31D9F" w:rsidR="009E6D9B" w:rsidRDefault="00DE0947" w:rsidP="497B2BD0">
      <w:pPr>
        <w:pStyle w:val="Akapitzlist"/>
        <w:spacing w:before="120"/>
        <w:outlineLvl w:val="0"/>
        <w:rPr>
          <w:rFonts w:cstheme="minorBidi"/>
          <w:lang w:val="pl-PL"/>
        </w:rPr>
      </w:pPr>
      <w:r w:rsidRPr="004A4523">
        <w:rPr>
          <w:rFonts w:cstheme="minorBidi"/>
          <w:lang w:val="pl-PL"/>
        </w:rPr>
        <w:t>W ramach gwarancji/ subskrypcji świadczone będzie wsparcie minimum na warunkach i poziomie STANDARD oferowanym przez producenta ww. oprogramowania, w tym</w:t>
      </w:r>
      <w:r w:rsidR="009E6D9B" w:rsidRPr="004A4523">
        <w:rPr>
          <w:rFonts w:cstheme="minorBidi"/>
          <w:lang w:val="pl-PL"/>
        </w:rPr>
        <w:t>:</w:t>
      </w:r>
    </w:p>
    <w:p w14:paraId="07531543" w14:textId="512881B6" w:rsidR="00DE0947" w:rsidRPr="009E6D9B" w:rsidRDefault="009E6D9B" w:rsidP="497B2BD0">
      <w:pPr>
        <w:pStyle w:val="Akapitzlist"/>
        <w:spacing w:before="120"/>
        <w:outlineLvl w:val="0"/>
        <w:rPr>
          <w:rFonts w:cstheme="minorBidi"/>
          <w:lang w:val="pl-PL"/>
        </w:rPr>
      </w:pPr>
      <w:r w:rsidRPr="497B2BD0">
        <w:rPr>
          <w:rFonts w:cstheme="minorBidi"/>
        </w:rPr>
        <w:t>D</w:t>
      </w:r>
      <w:r w:rsidR="00DE0947" w:rsidRPr="497B2BD0">
        <w:rPr>
          <w:rFonts w:cstheme="minorBidi"/>
        </w:rPr>
        <w:t>ostęp do: </w:t>
      </w:r>
    </w:p>
    <w:p w14:paraId="196352AE" w14:textId="367B04BB" w:rsidR="00DE0947" w:rsidRPr="00DE0947" w:rsidRDefault="00DE0947" w:rsidP="497B2BD0">
      <w:pPr>
        <w:pStyle w:val="Akapitzlist"/>
        <w:spacing w:before="120"/>
        <w:outlineLvl w:val="0"/>
        <w:rPr>
          <w:rFonts w:cstheme="minorBidi"/>
          <w:lang w:val="pl-PL"/>
        </w:rPr>
      </w:pPr>
      <w:r w:rsidRPr="497B2BD0">
        <w:rPr>
          <w:rFonts w:cstheme="minorBidi"/>
        </w:rPr>
        <w:t>Aktualnych łatek; </w:t>
      </w:r>
    </w:p>
    <w:p w14:paraId="12679E8D" w14:textId="77777777" w:rsidR="00DE0947" w:rsidRPr="00DE0947" w:rsidRDefault="00DE0947" w:rsidP="497B2BD0">
      <w:pPr>
        <w:pStyle w:val="Akapitzlist"/>
        <w:spacing w:before="120"/>
        <w:outlineLvl w:val="0"/>
        <w:rPr>
          <w:rFonts w:cstheme="minorBidi"/>
          <w:lang w:val="pl-PL"/>
        </w:rPr>
      </w:pPr>
      <w:r w:rsidRPr="497B2BD0">
        <w:rPr>
          <w:rFonts w:cstheme="minorBidi"/>
        </w:rPr>
        <w:lastRenderedPageBreak/>
        <w:t>Aktualnych poprawek błędów; </w:t>
      </w:r>
    </w:p>
    <w:p w14:paraId="2C3A49B0" w14:textId="77777777" w:rsidR="00DE0947" w:rsidRPr="00DE0947" w:rsidRDefault="00DE0947" w:rsidP="497B2BD0">
      <w:pPr>
        <w:pStyle w:val="Akapitzlist"/>
        <w:spacing w:before="120"/>
        <w:outlineLvl w:val="0"/>
        <w:rPr>
          <w:rFonts w:cstheme="minorBidi"/>
          <w:lang w:val="pl-PL"/>
        </w:rPr>
      </w:pPr>
      <w:r w:rsidRPr="497B2BD0">
        <w:rPr>
          <w:rFonts w:cstheme="minorBidi"/>
        </w:rPr>
        <w:t>Uaktualnień; </w:t>
      </w:r>
    </w:p>
    <w:p w14:paraId="53299CD5" w14:textId="77777777" w:rsidR="00DE0947" w:rsidRPr="00DE0947" w:rsidRDefault="00DE0947" w:rsidP="497B2BD0">
      <w:pPr>
        <w:pStyle w:val="Akapitzlist"/>
        <w:spacing w:before="120"/>
        <w:outlineLvl w:val="0"/>
        <w:rPr>
          <w:rFonts w:cstheme="minorBidi"/>
          <w:lang w:val="pl-PL"/>
        </w:rPr>
      </w:pPr>
      <w:r w:rsidRPr="497B2BD0">
        <w:rPr>
          <w:rFonts w:cstheme="minorBidi"/>
        </w:rPr>
        <w:t>Nowych wersji oprogramowania. </w:t>
      </w:r>
    </w:p>
    <w:p w14:paraId="7E72848C" w14:textId="6EC028F6" w:rsidR="00DE0947" w:rsidRPr="00DE0947" w:rsidRDefault="00DE0947" w:rsidP="497B2BD0">
      <w:pPr>
        <w:pStyle w:val="Akapitzlist"/>
        <w:spacing w:before="120"/>
        <w:outlineLvl w:val="0"/>
        <w:rPr>
          <w:rFonts w:cstheme="minorBidi"/>
          <w:lang w:val="pl-PL"/>
        </w:rPr>
      </w:pPr>
      <w:r w:rsidRPr="497B2BD0">
        <w:rPr>
          <w:rFonts w:cstheme="minorBidi"/>
        </w:rPr>
        <w:t>Dostępność w dniach roboczych; </w:t>
      </w:r>
    </w:p>
    <w:p w14:paraId="0A53E1A7" w14:textId="77777777" w:rsidR="00DE0947" w:rsidRPr="00DE0947" w:rsidRDefault="00DE0947" w:rsidP="497B2BD0">
      <w:pPr>
        <w:pStyle w:val="Akapitzlist"/>
        <w:spacing w:before="120"/>
        <w:outlineLvl w:val="0"/>
        <w:rPr>
          <w:rFonts w:cstheme="minorBidi"/>
          <w:lang w:val="pl-PL"/>
        </w:rPr>
      </w:pPr>
      <w:r w:rsidRPr="497B2BD0">
        <w:rPr>
          <w:rFonts w:cstheme="minorBidi"/>
        </w:rPr>
        <w:t>Nielimitowana liczba incydentów; </w:t>
      </w:r>
    </w:p>
    <w:p w14:paraId="4F0481A2" w14:textId="77777777" w:rsidR="00DE0947" w:rsidRPr="00DE0947" w:rsidRDefault="00DE0947" w:rsidP="497B2BD0">
      <w:pPr>
        <w:pStyle w:val="Akapitzlist"/>
        <w:spacing w:before="120"/>
        <w:outlineLvl w:val="0"/>
        <w:rPr>
          <w:rFonts w:cstheme="minorBidi"/>
          <w:lang w:val="pl-PL"/>
        </w:rPr>
      </w:pPr>
      <w:r w:rsidRPr="497B2BD0">
        <w:rPr>
          <w:rFonts w:cstheme="minorBidi"/>
        </w:rPr>
        <w:t>Wsparcie specjalistyczne na 3 poziomach; </w:t>
      </w:r>
    </w:p>
    <w:p w14:paraId="7AEE0601"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Wsparcie dla incydentów dotyczących produktów różnych producentów. </w:t>
      </w:r>
    </w:p>
    <w:p w14:paraId="1869529F" w14:textId="77777777" w:rsidR="00DE0947" w:rsidRPr="00DE0947" w:rsidRDefault="00DE0947" w:rsidP="497B2BD0">
      <w:pPr>
        <w:pStyle w:val="Akapitzlist"/>
        <w:spacing w:before="120"/>
        <w:outlineLvl w:val="0"/>
        <w:rPr>
          <w:rFonts w:cstheme="minorBidi"/>
          <w:lang w:val="pl-PL"/>
        </w:rPr>
      </w:pPr>
      <w:r w:rsidRPr="497B2BD0">
        <w:rPr>
          <w:rFonts w:cstheme="minorBidi"/>
        </w:rPr>
        <w:t>Reakcja na zgłoszone incydenty: </w:t>
      </w:r>
    </w:p>
    <w:p w14:paraId="1B9353CA" w14:textId="643271BA" w:rsidR="00DE0947" w:rsidRPr="00DE0947" w:rsidRDefault="00DE0947" w:rsidP="497B2BD0">
      <w:pPr>
        <w:pStyle w:val="Akapitzlist"/>
        <w:spacing w:before="120"/>
        <w:outlineLvl w:val="0"/>
        <w:rPr>
          <w:rFonts w:cstheme="minorBidi"/>
          <w:lang w:val="pl-PL"/>
        </w:rPr>
      </w:pPr>
      <w:r w:rsidRPr="004A4523">
        <w:rPr>
          <w:rFonts w:cstheme="minorBidi"/>
          <w:lang w:val="pl-PL"/>
        </w:rPr>
        <w:t>do 1 godziny dnia roboczego dla zgłoszeń o krytycznym priorytecie; </w:t>
      </w:r>
    </w:p>
    <w:p w14:paraId="7E021E6E"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do 4 godzin dnia roboczego dla zgłoszeń o wysokim priorytecie; </w:t>
      </w:r>
    </w:p>
    <w:p w14:paraId="32566F0D"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do 1 dnia roboczego dla zgłoszeń o średnim priorytecie; </w:t>
      </w:r>
    </w:p>
    <w:p w14:paraId="38EF20C3"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do 2 dni roboczych dla zgłoszeń o niskim priorytecie. </w:t>
      </w:r>
    </w:p>
    <w:p w14:paraId="48C8A6EA"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Dostęp do specjalistycznej wiedzy poprzez: </w:t>
      </w:r>
    </w:p>
    <w:p w14:paraId="54B84330" w14:textId="77777777" w:rsidR="00DE0947" w:rsidRPr="00DE0947" w:rsidRDefault="00DE0947" w:rsidP="497B2BD0">
      <w:pPr>
        <w:pStyle w:val="Akapitzlist"/>
        <w:spacing w:before="120"/>
        <w:outlineLvl w:val="0"/>
        <w:rPr>
          <w:rFonts w:cstheme="minorBidi"/>
          <w:lang w:val="pl-PL"/>
        </w:rPr>
      </w:pPr>
      <w:r w:rsidRPr="497B2BD0">
        <w:rPr>
          <w:rFonts w:cstheme="minorBidi"/>
        </w:rPr>
        <w:t>Portal producenta oprogramowania; </w:t>
      </w:r>
    </w:p>
    <w:p w14:paraId="3BF65CA8" w14:textId="77777777" w:rsidR="00DE0947" w:rsidRPr="00DE0947" w:rsidRDefault="00DE0947" w:rsidP="497B2BD0">
      <w:pPr>
        <w:pStyle w:val="Akapitzlist"/>
        <w:spacing w:before="120"/>
        <w:outlineLvl w:val="0"/>
        <w:rPr>
          <w:rFonts w:cstheme="minorBidi"/>
          <w:lang w:val="pl-PL"/>
        </w:rPr>
      </w:pPr>
      <w:r w:rsidRPr="497B2BD0">
        <w:rPr>
          <w:rFonts w:cstheme="minorBidi"/>
        </w:rPr>
        <w:t>Dostęp do bazy wiedzy; </w:t>
      </w:r>
    </w:p>
    <w:p w14:paraId="754D7929"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Dostęp do dedykowanego wsparcia inżyniera Producenta polegającego na współpracy z Zamawiającym w szczególności w zakresie: </w:t>
      </w:r>
    </w:p>
    <w:p w14:paraId="382E1BD2"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Rozwiązywania problemów w eksploatowanych systemach; </w:t>
      </w:r>
    </w:p>
    <w:p w14:paraId="5BEE1FEE" w14:textId="77777777" w:rsidR="00DE0947" w:rsidRPr="00DE0947" w:rsidRDefault="00DE0947" w:rsidP="497B2BD0">
      <w:pPr>
        <w:pStyle w:val="Akapitzlist"/>
        <w:spacing w:before="120"/>
        <w:outlineLvl w:val="0"/>
        <w:rPr>
          <w:rFonts w:cstheme="minorBidi"/>
          <w:lang w:val="pl-PL"/>
        </w:rPr>
      </w:pPr>
      <w:r w:rsidRPr="497B2BD0">
        <w:rPr>
          <w:rFonts w:cstheme="minorBidi"/>
        </w:rPr>
        <w:t>Opracowywaniu architektury rozwiązań; </w:t>
      </w:r>
    </w:p>
    <w:p w14:paraId="594BC2BA" w14:textId="77777777" w:rsidR="00DE0947" w:rsidRPr="00DE0947" w:rsidRDefault="00DE0947" w:rsidP="497B2BD0">
      <w:pPr>
        <w:pStyle w:val="Akapitzlist"/>
        <w:spacing w:before="120"/>
        <w:outlineLvl w:val="0"/>
        <w:rPr>
          <w:rFonts w:cstheme="minorBidi"/>
          <w:lang w:val="pl-PL"/>
        </w:rPr>
      </w:pPr>
      <w:r w:rsidRPr="497B2BD0">
        <w:rPr>
          <w:rFonts w:cstheme="minorBidi"/>
        </w:rPr>
        <w:t>Kontaktu z producentem oprogramowania; </w:t>
      </w:r>
    </w:p>
    <w:p w14:paraId="4A7A4E88" w14:textId="77777777" w:rsidR="00DE0947" w:rsidRPr="00DE0947" w:rsidRDefault="00DE0947" w:rsidP="497B2BD0">
      <w:pPr>
        <w:pStyle w:val="Akapitzlist"/>
        <w:spacing w:before="120"/>
        <w:outlineLvl w:val="0"/>
        <w:rPr>
          <w:rFonts w:cstheme="minorBidi"/>
          <w:lang w:val="pl-PL"/>
        </w:rPr>
      </w:pPr>
      <w:r w:rsidRPr="497B2BD0">
        <w:rPr>
          <w:rFonts w:cstheme="minorBidi"/>
        </w:rPr>
        <w:t>Rekomendowania działań optymalizacyjnych. </w:t>
      </w:r>
    </w:p>
    <w:p w14:paraId="5123A600"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Możliwość składania zgłoszeń serwisowych u producenta rozwiązania w całym zakresie serwisu: </w:t>
      </w:r>
    </w:p>
    <w:p w14:paraId="5FA42BBC"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Poziom L1 - pierwszy punkt kontaktu, który zapewnia użytkownikowi końcowemu pomoc techniczną i podstawowe rozwiązywanie problemów; </w:t>
      </w:r>
    </w:p>
    <w:p w14:paraId="382EAE0E"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Poziom L2 - punkt eskalacji wsparcia poziomu pierwszego. Wsparcie drugiego poziomu zapewnia głębszą analizę i rozwiązywanie problemów; </w:t>
      </w:r>
    </w:p>
    <w:p w14:paraId="71D811FF" w14:textId="77777777" w:rsidR="00DE0947" w:rsidRPr="00DE0947" w:rsidRDefault="00DE0947" w:rsidP="497B2BD0">
      <w:pPr>
        <w:pStyle w:val="Akapitzlist"/>
        <w:spacing w:before="120"/>
        <w:outlineLvl w:val="0"/>
        <w:rPr>
          <w:rFonts w:cstheme="minorBidi"/>
          <w:lang w:val="pl-PL"/>
        </w:rPr>
      </w:pPr>
      <w:r w:rsidRPr="004A4523">
        <w:rPr>
          <w:rFonts w:cstheme="minorBidi"/>
          <w:lang w:val="pl-PL"/>
        </w:rPr>
        <w:t>Poziom L3 – problemy, które zostaną uznane za powstałe w wyniku błędu w projekcie lub złożonych wewnętrznych zależności wymagających naprawy oprogramowania. </w:t>
      </w:r>
    </w:p>
    <w:p w14:paraId="09374559" w14:textId="30003A22" w:rsidR="00DE0947" w:rsidRPr="00DE0947" w:rsidRDefault="00DE0947" w:rsidP="497B2BD0">
      <w:pPr>
        <w:pStyle w:val="Akapitzlist"/>
        <w:spacing w:before="120"/>
        <w:outlineLvl w:val="0"/>
        <w:rPr>
          <w:rFonts w:cstheme="minorBidi"/>
          <w:lang w:val="pl-PL"/>
        </w:rPr>
      </w:pPr>
      <w:r w:rsidRPr="004A4523">
        <w:rPr>
          <w:rFonts w:cstheme="minorBidi"/>
          <w:lang w:val="pl-PL"/>
        </w:rPr>
        <w:lastRenderedPageBreak/>
        <w:t xml:space="preserve"> Subskrypcje Red Hat Learning Subscription Premium powinny posiadać okres ważności </w:t>
      </w:r>
      <w:r w:rsidR="009E6D9B" w:rsidRPr="004A4523">
        <w:rPr>
          <w:rFonts w:cstheme="minorBidi"/>
          <w:lang w:val="pl-PL"/>
        </w:rPr>
        <w:t xml:space="preserve">60 </w:t>
      </w:r>
      <w:r w:rsidRPr="004A4523">
        <w:rPr>
          <w:rFonts w:cstheme="minorBidi"/>
          <w:lang w:val="pl-PL"/>
        </w:rPr>
        <w:t xml:space="preserve">miesięcy od dnia wskazanego przez Zamawiającego. </w:t>
      </w:r>
      <w:r w:rsidRPr="497B2BD0">
        <w:rPr>
          <w:rFonts w:cstheme="minorBidi"/>
        </w:rPr>
        <w:t>Termin powinien być liczony oddzielnie dla każdej uruchomionej subskrypcji. </w:t>
      </w:r>
    </w:p>
    <w:p w14:paraId="286C156A" w14:textId="32567D19" w:rsidR="00DE0947" w:rsidRPr="00A65211" w:rsidRDefault="00A65211" w:rsidP="00A65211">
      <w:pPr>
        <w:spacing w:before="120"/>
        <w:ind w:left="360"/>
        <w:outlineLvl w:val="0"/>
        <w:rPr>
          <w:rFonts w:cstheme="minorBidi"/>
        </w:rPr>
      </w:pPr>
      <w:r w:rsidRPr="00A65211">
        <w:rPr>
          <w:rFonts w:cstheme="minorBidi"/>
          <w:b/>
          <w:bCs/>
        </w:rPr>
        <w:t>5.</w:t>
      </w:r>
      <w:r>
        <w:rPr>
          <w:rFonts w:cstheme="minorBidi"/>
          <w:b/>
          <w:bCs/>
        </w:rPr>
        <w:t>6</w:t>
      </w:r>
      <w:r w:rsidRPr="00A65211">
        <w:rPr>
          <w:rFonts w:cstheme="minorBidi"/>
          <w:b/>
          <w:bCs/>
        </w:rPr>
        <w:t xml:space="preserve">. </w:t>
      </w:r>
      <w:r w:rsidR="00DE0947" w:rsidRPr="00A65211">
        <w:rPr>
          <w:rFonts w:cstheme="minorBidi"/>
          <w:b/>
          <w:bCs/>
        </w:rPr>
        <w:t>Opis wymagań dla oprogramowania równoważnego.</w:t>
      </w:r>
      <w:r w:rsidR="00DE0947" w:rsidRPr="00A65211">
        <w:rPr>
          <w:rFonts w:cstheme="minorBidi"/>
        </w:rPr>
        <w:t> </w:t>
      </w:r>
    </w:p>
    <w:p w14:paraId="557E522E" w14:textId="196E4944" w:rsidR="00DE0947" w:rsidRPr="00DE0947" w:rsidRDefault="00DE0947" w:rsidP="497B2BD0">
      <w:pPr>
        <w:pStyle w:val="Akapitzlist"/>
        <w:spacing w:before="120"/>
        <w:outlineLvl w:val="0"/>
        <w:rPr>
          <w:rFonts w:cstheme="minorBidi"/>
          <w:lang w:val="pl-PL"/>
        </w:rPr>
      </w:pPr>
      <w:r w:rsidRPr="004A4523">
        <w:rPr>
          <w:rFonts w:cstheme="minorBidi"/>
          <w:lang w:val="pl-PL"/>
        </w:rPr>
        <w:t>Obsługa minimum dwóch fizycznych procesorów. </w:t>
      </w:r>
    </w:p>
    <w:p w14:paraId="6A23A445" w14:textId="77777777" w:rsidR="00DE0947" w:rsidRDefault="00DE0947" w:rsidP="497B2BD0">
      <w:pPr>
        <w:pStyle w:val="Akapitzlist"/>
        <w:spacing w:before="120"/>
        <w:outlineLvl w:val="0"/>
        <w:rPr>
          <w:rFonts w:cstheme="minorBidi"/>
          <w:lang w:val="pl-PL"/>
        </w:rPr>
      </w:pPr>
      <w:r w:rsidRPr="004A4523">
        <w:rPr>
          <w:rFonts w:cstheme="minorBidi"/>
          <w:lang w:val="pl-PL"/>
        </w:rPr>
        <w:t>Zestaw oprogramowania dołączony wraz z systemem, w wariancie minimalnym oprogramowanie umożliwiające uruchomienie: serwera www, serwera poczty, serwera bazy danych, serwera cache'ującego obiekty w pamięci ulotnej, serwerów sieciowych systemów plików NFSv4 i SMB, wirtualnej maszyny Javy. </w:t>
      </w:r>
    </w:p>
    <w:p w14:paraId="7461EB0B"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Ochrona obiektów systemu poprzez mechanizm SELinux lub w pełni równoważny. Mechanizm wymusza kontrolę dostępu do obiektów zgodnie z polisą przynajmniej dla takich obiektów jak pliki, katalogi, porty, użytkownicy, procesy, maszyny wirtualne. System operacyjny musi zostać dostarczony wraz z zestawem wspieranych przez producenta i aktualizowanych polis bezpieczeństwa. System powinien zapewniać narzędzia tekstowe i graficzne pozwalające w prosty sposób analizować alarmy bezpieczeństwa. </w:t>
      </w:r>
    </w:p>
    <w:p w14:paraId="6B82E820"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Mechanizm izolacji maszyn wirtualnych sVirt bądź w pełni równoważny. </w:t>
      </w:r>
    </w:p>
    <w:p w14:paraId="180FF975"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Certyfikat bezpieczeństwa zgodny z EAL4+. </w:t>
      </w:r>
    </w:p>
    <w:p w14:paraId="37E1AB49"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Wbudowana w jądro obsługa wirtualizacji oraz narzędzia tekstowe i graficzne służące do zarządzania maszynami wirtualnymi. </w:t>
      </w:r>
    </w:p>
    <w:p w14:paraId="6774E8AF"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Możliwość uruchomienia nieokreślonej liczby wirtualnych maszyn. </w:t>
      </w:r>
    </w:p>
    <w:p w14:paraId="0B0F6143"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 xml:space="preserve">Posiada wsparcie przynajmniej następujących hypervisorów: KVM, VMware, Hyper-V. </w:t>
      </w:r>
      <w:r w:rsidRPr="001357DA">
        <w:rPr>
          <w:rFonts w:cstheme="minorBidi"/>
          <w:lang w:val="pl-PL"/>
        </w:rPr>
        <w:t xml:space="preserve">Producent systemu operacyjnego wspiera przynajmniej jedną taką instalację w maszynie wirtualnej. </w:t>
      </w:r>
      <w:r w:rsidRPr="004A4523">
        <w:rPr>
          <w:rFonts w:cstheme="minorBidi"/>
          <w:lang w:val="pl-PL"/>
        </w:rPr>
        <w:t>Ponadto dla wymienionych hypervisorów system operacyjny posiada para-wirtualizowane sterowniki, które zostaną automatyczne załadowane przez jądro systemu przy jego uruchomieniu. </w:t>
      </w:r>
    </w:p>
    <w:p w14:paraId="6812F917"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 xml:space="preserve">Kompatybilność ABI oraz API przez cały okres życia aktualizowanego systemu. </w:t>
      </w:r>
      <w:r w:rsidRPr="497B2BD0">
        <w:rPr>
          <w:rFonts w:cstheme="minorBidi"/>
        </w:rPr>
        <w:t>Wymaganie dotyczy wersji głównych (ang. major). </w:t>
      </w:r>
    </w:p>
    <w:p w14:paraId="3AEAD893"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Otwarty kod źródłowy. Wymaganie dotyczy wszystkich elementów systemu operacyjnego włącznie z dostarczonym zestawem oprogramowania. </w:t>
      </w:r>
    </w:p>
    <w:p w14:paraId="5E83447C"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Instalator dający możliwość utworzenia szyfrowanych partycji jeszcze przed instalacją systemu operacyjnego. </w:t>
      </w:r>
    </w:p>
    <w:p w14:paraId="6CE73504" w14:textId="77777777" w:rsidR="00DE0947" w:rsidRPr="00E653B7" w:rsidRDefault="00DE0947" w:rsidP="497B2BD0">
      <w:pPr>
        <w:pStyle w:val="Akapitzlist"/>
        <w:spacing w:before="120"/>
        <w:outlineLvl w:val="0"/>
        <w:rPr>
          <w:rFonts w:cstheme="minorBidi"/>
          <w:lang w:val="pl-PL"/>
        </w:rPr>
      </w:pPr>
      <w:r w:rsidRPr="004A4523">
        <w:rPr>
          <w:rFonts w:cstheme="minorBidi"/>
          <w:lang w:val="pl-PL"/>
        </w:rPr>
        <w:t xml:space="preserve">Istnienie mechanizmu grup kontrolnych, pozwalającego na dynamiczne klasyfikowanie i grupowanie zadań systemowych oraz wymuszenie zadanego przez administratora sposobu </w:t>
      </w:r>
      <w:r w:rsidRPr="004A4523">
        <w:rPr>
          <w:rFonts w:cstheme="minorBidi"/>
          <w:lang w:val="pl-PL"/>
        </w:rPr>
        <w:lastRenderedPageBreak/>
        <w:t>zarządzania zadaniami przez jądro systemu operacyjnego. Grupy kontrolne w szczególności muszą pozwolić na wprowadzenie mechanizmu QoS dla procesów i maszyn wirtualnych. W wariancie minimalnym, dla każdego zadania (ang. task) musi być możliwe: </w:t>
      </w:r>
    </w:p>
    <w:p w14:paraId="7CE9D0D6" w14:textId="67C419B7" w:rsidR="00DE0947" w:rsidRPr="004A4523" w:rsidRDefault="00DE0947" w:rsidP="497B2BD0">
      <w:pPr>
        <w:pStyle w:val="Akapitzlist"/>
        <w:spacing w:before="120"/>
        <w:outlineLvl w:val="0"/>
        <w:rPr>
          <w:rFonts w:cstheme="minorBidi"/>
          <w:lang w:val="pl-PL"/>
        </w:rPr>
      </w:pPr>
      <w:r w:rsidRPr="004A4523">
        <w:rPr>
          <w:rFonts w:cstheme="minorBidi"/>
          <w:lang w:val="pl-PL"/>
        </w:rPr>
        <w:t>przyporządkowanie na stałe do określonych przez administratora procesorów; </w:t>
      </w:r>
    </w:p>
    <w:p w14:paraId="30FDA1A5" w14:textId="77777777" w:rsidR="00DE0947" w:rsidRPr="00DE0947" w:rsidRDefault="00DE0947" w:rsidP="497B2BD0">
      <w:pPr>
        <w:pStyle w:val="Akapitzlist"/>
        <w:spacing w:before="120"/>
        <w:outlineLvl w:val="0"/>
        <w:rPr>
          <w:rFonts w:cstheme="minorBidi"/>
        </w:rPr>
      </w:pPr>
      <w:r w:rsidRPr="004A4523">
        <w:rPr>
          <w:rFonts w:cstheme="minorBidi"/>
          <w:lang w:val="pl-PL"/>
        </w:rPr>
        <w:t xml:space="preserve">określenie maksymalnych wartości bądź proporcji wykorzystania operacji wejścia/wyjścia (ang. </w:t>
      </w:r>
      <w:r w:rsidRPr="497B2BD0">
        <w:rPr>
          <w:rFonts w:cstheme="minorBidi"/>
        </w:rPr>
        <w:t>I/O) dla podsystemu sieciowego i dyskowego; </w:t>
      </w:r>
    </w:p>
    <w:p w14:paraId="0D2F132E"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określenie udziałów w dostępie do procesorów, np. poprzez utworzenie proporcji czasu dostępu dla różnych zadań; </w:t>
      </w:r>
    </w:p>
    <w:p w14:paraId="61FF9630"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przyporządkowanie do strefy NUMA, zarówno CPU jak i pamięci RAM. </w:t>
      </w:r>
    </w:p>
    <w:p w14:paraId="25319E69"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Mechanizm wykonywania kopii migawkowych (ang. snapshots) uprzednio przygotowanych przestrzeni blokowych. </w:t>
      </w:r>
    </w:p>
    <w:p w14:paraId="7B96D5FE"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Możliwość wykorzystania jako klient pNFS (ang. parallel NFS) w układzie plikowym (ang. file layout). </w:t>
      </w:r>
    </w:p>
    <w:p w14:paraId="649C65C9"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Wsparcie dla systemów plików EXT3, EXT4, XFS, GFS, GFS2. </w:t>
      </w:r>
    </w:p>
    <w:p w14:paraId="5EF9BB3E"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Wsparcie dla urządzeń blokowych typu Ceph. </w:t>
      </w:r>
    </w:p>
    <w:p w14:paraId="2D911097"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System operacyjny musi mieć certyfikację producenta do instalacji serwera aplikacyjnego JBoss Enterprise Application Platform. </w:t>
      </w:r>
    </w:p>
    <w:p w14:paraId="31364D3E"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System operacyjny musi być na liście certyfikacyjnej serwerów będących w posiadaniu Zamawiającego firmy: HPE HPE ProLiant DL385 Gen10 Plus, Dell PowerEdge R7525. </w:t>
      </w:r>
    </w:p>
    <w:p w14:paraId="0B3E1BF1"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System operacyjny musi być na liście kompatybilności oprogramowania (w roli gościa) do wirtualizacji Vmware ESXi  6.5, 6.7, 7.0 będącego w eksploatacji u Zamawiającego. </w:t>
      </w:r>
    </w:p>
    <w:p w14:paraId="68C2ACE9"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System operacyjny musi być na liście certyfikacji oprogramowania bazodanowego: Oracle Database v18c i wyższe, PostgreSQL v13 i wyższe, Microsoft SQL Server v2016 i wyższe, IBM DB2 v11 i wyższe, Percona XtraDB Cluster v5.7 i wyższe, MongoDB v4.2 i wyższe. </w:t>
      </w:r>
    </w:p>
    <w:p w14:paraId="0F7067F9"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Polityka licencjonowania musi umożliwiać przenoszenie licencji na oprogramowanie pomiędzy serwerami różnych producentów z zachowaniem wsparcia technicznego i zmianą wersji oprogramowania na niższą (ang. downgrade). </w:t>
      </w:r>
    </w:p>
    <w:p w14:paraId="66518290"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Zamawiający wymaga świadczenia wsparcia bezpośrednio przez producenta oprogramowania na poziomie L1, L2 i L3 oraz nie dopuszcza zaoferowania rozwiązań OEM. </w:t>
      </w:r>
    </w:p>
    <w:p w14:paraId="600AB69C"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Oprogramowanie w systemie operacyjnym umożliwia automatyczną analizę stanu środowiska w poszukiwaniu znanych przypadków oraz rekomendacji wynikających z dobrych praktyk. </w:t>
      </w:r>
    </w:p>
    <w:p w14:paraId="160C78E2"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lastRenderedPageBreak/>
        <w:t>Oprogramowanie w systemie operacyjnym udostępnia wyniki stanu konfiguracji środowiska w postaci raportu rekomendowanych optymalizacji w kategoriach: bezpieczeństwo, stabilność, dostępność oraz wydajność. </w:t>
      </w:r>
    </w:p>
    <w:p w14:paraId="77863364" w14:textId="77777777" w:rsidR="00DE0947" w:rsidRPr="001357DA" w:rsidRDefault="00DE0947" w:rsidP="497B2BD0">
      <w:pPr>
        <w:pStyle w:val="Akapitzlist"/>
        <w:spacing w:before="120"/>
        <w:outlineLvl w:val="0"/>
        <w:rPr>
          <w:rFonts w:cstheme="minorBidi"/>
          <w:lang w:val="pl-PL"/>
        </w:rPr>
      </w:pPr>
      <w:r w:rsidRPr="004A4523">
        <w:rPr>
          <w:rFonts w:cstheme="minorBidi"/>
          <w:lang w:val="pl-PL"/>
        </w:rPr>
        <w:t>Oprogramowanie w systemie operacyjnym generuje skrypt (tzw. </w:t>
      </w:r>
      <w:r w:rsidRPr="001357DA">
        <w:rPr>
          <w:rFonts w:cstheme="minorBidi"/>
          <w:lang w:val="pl-PL"/>
        </w:rPr>
        <w:t>Playbook), który może być użyty do automatycznego aplikowania rekomendowanych zmian. </w:t>
      </w:r>
    </w:p>
    <w:p w14:paraId="726E737E"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Dostarczona subskrypcja na oprogramowanie musi umożliwiać uruchomienie nieograniczonej liczby wirtualnych maszyn z systemem operacyjnym na serwerze fizycznym z dwoma gniazdami. </w:t>
      </w:r>
    </w:p>
    <w:p w14:paraId="1251A5D5"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Dostarczone licencje na oprogramowanie muszą umożliwiać dostęp do bazy wiedzy producenta (ang. knowledge base), zawierającej skatalogowane informacje na temat produktu takie jak: zagadnienia administracyjne wraz z sugerowanymi rozwiązaniami, opisy błędów, przykładowe konfiguracje usług. </w:t>
      </w:r>
    </w:p>
    <w:p w14:paraId="615395FF"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Dostarczone licencje wraz z centralnym zarządzaniem infrastrukturą opartą o zaoferowany system operacyjny. </w:t>
      </w:r>
    </w:p>
    <w:p w14:paraId="5EAE4BA0"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Wymagane narzędzie do zbiorczego monitorowania zarządzania systemami rozproszonych lokalnie lub w chmurze. </w:t>
      </w:r>
    </w:p>
    <w:p w14:paraId="5F9819DB" w14:textId="77777777" w:rsidR="00DE0947" w:rsidRPr="00DE0947" w:rsidRDefault="00DE0947" w:rsidP="497B2BD0">
      <w:pPr>
        <w:pStyle w:val="Akapitzlist"/>
        <w:spacing w:before="120"/>
        <w:outlineLvl w:val="0"/>
        <w:rPr>
          <w:rFonts w:cstheme="minorBidi"/>
        </w:rPr>
      </w:pPr>
      <w:r w:rsidRPr="497B2BD0">
        <w:rPr>
          <w:rFonts w:cstheme="minorBidi"/>
        </w:rPr>
        <w:t>Narzędzie do aktualizowania środowisk. </w:t>
      </w:r>
    </w:p>
    <w:p w14:paraId="6924D381"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Możliwość kontroli i zarządzania wersjami repozytoriów. </w:t>
      </w:r>
    </w:p>
    <w:p w14:paraId="44D2D9C0" w14:textId="77777777" w:rsidR="00DE0947" w:rsidRPr="00DE0947" w:rsidRDefault="00DE0947" w:rsidP="497B2BD0">
      <w:pPr>
        <w:pStyle w:val="Akapitzlist"/>
        <w:spacing w:before="120"/>
        <w:outlineLvl w:val="0"/>
        <w:rPr>
          <w:rFonts w:cstheme="minorBidi"/>
        </w:rPr>
      </w:pPr>
      <w:r w:rsidRPr="497B2BD0">
        <w:rPr>
          <w:rFonts w:cstheme="minorBidi"/>
        </w:rPr>
        <w:t>Narzędzia do zarządzania bezpieczeństwem. </w:t>
      </w:r>
    </w:p>
    <w:p w14:paraId="67F86514"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Możliwość zarządzania treścią, wprowadzanie poprawek, udostępnianie i zarządzanie subskrypcjami. </w:t>
      </w:r>
    </w:p>
    <w:p w14:paraId="3F4A914C"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Dostęp do usług zarządzania luk bezpieczeństwa, zgodności i porównywania systemów.  </w:t>
      </w:r>
    </w:p>
    <w:p w14:paraId="2AB4F311"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Możliwość zarejestrowania w portalu RedHat Insights wykorzystywanego przez Zamawiającego. </w:t>
      </w:r>
    </w:p>
    <w:p w14:paraId="7ADDA093"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Możliwość z poziomu portalu RedHat Insights monitorowania podatności, generowania skryptów Ansible usuwających wybrane przez użytkownika podatności. </w:t>
      </w:r>
    </w:p>
    <w:p w14:paraId="23661998" w14:textId="77777777" w:rsidR="00DE0947" w:rsidRPr="004A4523" w:rsidRDefault="00DE0947" w:rsidP="497B2BD0">
      <w:pPr>
        <w:pStyle w:val="Akapitzlist"/>
        <w:spacing w:before="120"/>
        <w:outlineLvl w:val="0"/>
        <w:rPr>
          <w:rFonts w:cstheme="minorBidi"/>
          <w:lang w:val="pl-PL"/>
        </w:rPr>
      </w:pPr>
      <w:r w:rsidRPr="004A4523">
        <w:rPr>
          <w:rFonts w:cstheme="minorBidi"/>
          <w:lang w:val="pl-PL"/>
        </w:rPr>
        <w:t>Możliwość z poziomu portalu RedHat Insights zdalnego usuwania podatności na wybranych systemach. </w:t>
      </w:r>
    </w:p>
    <w:p w14:paraId="3617E610" w14:textId="77777777" w:rsidR="00805EBC" w:rsidRPr="00E653B7" w:rsidRDefault="00805EBC" w:rsidP="497B2BD0">
      <w:pPr>
        <w:spacing w:before="120"/>
        <w:ind w:left="720" w:hanging="360"/>
        <w:outlineLvl w:val="0"/>
        <w:rPr>
          <w:rFonts w:cstheme="minorBidi"/>
        </w:rPr>
      </w:pPr>
    </w:p>
    <w:p w14:paraId="69A9DC33" w14:textId="37620878" w:rsidR="00805EBC" w:rsidRPr="00E653B7" w:rsidRDefault="00805EBC" w:rsidP="497B2BD0">
      <w:pPr>
        <w:rPr>
          <w:rFonts w:cstheme="minorBidi"/>
        </w:rPr>
      </w:pPr>
    </w:p>
    <w:p w14:paraId="7358D8F0" w14:textId="77777777" w:rsidR="00896C4F" w:rsidRPr="003D6738" w:rsidRDefault="00896C4F" w:rsidP="497B2BD0">
      <w:pPr>
        <w:rPr>
          <w:rFonts w:cstheme="minorBidi"/>
        </w:rPr>
      </w:pPr>
    </w:p>
    <w:p w14:paraId="222FF360" w14:textId="03B87909" w:rsidR="003636B1" w:rsidRPr="003D6738" w:rsidRDefault="008D08F6" w:rsidP="497B2BD0">
      <w:pPr>
        <w:spacing w:before="600" w:after="0" w:line="276" w:lineRule="auto"/>
        <w:rPr>
          <w:rFonts w:cstheme="minorBidi"/>
        </w:rPr>
      </w:pPr>
      <w:r w:rsidRPr="497B2BD0">
        <w:rPr>
          <w:rFonts w:cstheme="minorBidi"/>
        </w:rPr>
        <w:t>Osob</w:t>
      </w:r>
      <w:r w:rsidR="00E653B7" w:rsidRPr="497B2BD0">
        <w:rPr>
          <w:rFonts w:cstheme="minorBidi"/>
        </w:rPr>
        <w:t>y</w:t>
      </w:r>
      <w:r w:rsidRPr="497B2BD0">
        <w:rPr>
          <w:rFonts w:cstheme="minorBidi"/>
        </w:rPr>
        <w:t xml:space="preserve"> sporządzając</w:t>
      </w:r>
      <w:r w:rsidR="00E653B7" w:rsidRPr="497B2BD0">
        <w:rPr>
          <w:rFonts w:cstheme="minorBidi"/>
        </w:rPr>
        <w:t>e</w:t>
      </w:r>
      <w:r w:rsidRPr="497B2BD0">
        <w:rPr>
          <w:rFonts w:cstheme="minorBidi"/>
        </w:rPr>
        <w:t xml:space="preserve">: </w:t>
      </w:r>
      <w:r w:rsidR="002D0C65" w:rsidRPr="497B2BD0">
        <w:rPr>
          <w:rFonts w:cstheme="minorBidi"/>
        </w:rPr>
        <w:t>Marek Pudzianowski</w:t>
      </w:r>
      <w:r w:rsidR="00415525" w:rsidRPr="497B2BD0">
        <w:rPr>
          <w:rFonts w:cstheme="minorBidi"/>
        </w:rPr>
        <w:t>,</w:t>
      </w:r>
      <w:r w:rsidR="00E653B7" w:rsidRPr="00E653B7">
        <w:rPr>
          <w:rFonts w:ascii="Calibri" w:hAnsi="Calibri" w:cs="Calibri"/>
          <w:color w:val="000000"/>
          <w:bdr w:val="none" w:sz="0" w:space="0" w:color="auto" w:frame="1"/>
        </w:rPr>
        <w:t xml:space="preserve"> </w:t>
      </w:r>
      <w:r w:rsidR="00E653B7" w:rsidRPr="497B2BD0">
        <w:rPr>
          <w:rFonts w:cstheme="minorBidi"/>
        </w:rPr>
        <w:t>Dariusz Krajewski,</w:t>
      </w:r>
      <w:r w:rsidR="00415525" w:rsidRPr="497B2BD0">
        <w:rPr>
          <w:rFonts w:cstheme="minorBidi"/>
        </w:rPr>
        <w:t xml:space="preserve"> Przemysław Hudzik</w:t>
      </w:r>
      <w:r w:rsidR="00E653B7" w:rsidRPr="497B2BD0">
        <w:rPr>
          <w:rFonts w:cstheme="minorBidi"/>
        </w:rPr>
        <w:t>,</w:t>
      </w:r>
      <w:r w:rsidR="00E653B7" w:rsidRPr="00E653B7">
        <w:rPr>
          <w:rFonts w:ascii="Calibri" w:hAnsi="Calibri" w:cs="Calibri"/>
          <w:color w:val="000000"/>
          <w:bdr w:val="none" w:sz="0" w:space="0" w:color="auto" w:frame="1"/>
        </w:rPr>
        <w:t xml:space="preserve"> </w:t>
      </w:r>
      <w:r w:rsidR="00E653B7" w:rsidRPr="497B2BD0">
        <w:rPr>
          <w:rFonts w:cstheme="minorBidi"/>
        </w:rPr>
        <w:t>Gryglik Paweł</w:t>
      </w:r>
    </w:p>
    <w:sectPr w:rsidR="003636B1" w:rsidRPr="003D6738" w:rsidSect="005C2D9D">
      <w:footerReference w:type="default" r:id="rId17"/>
      <w:footerReference w:type="first" r:id="rId18"/>
      <w:pgSz w:w="11906" w:h="16838" w:code="9"/>
      <w:pgMar w:top="1418" w:right="1418" w:bottom="2529" w:left="1077" w:header="709" w:footer="9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90F2" w14:textId="77777777" w:rsidR="00F50C71" w:rsidRPr="00FF5311" w:rsidRDefault="00F50C71">
      <w:pPr>
        <w:spacing w:after="0"/>
      </w:pPr>
      <w:r w:rsidRPr="00FF5311">
        <w:separator/>
      </w:r>
    </w:p>
  </w:endnote>
  <w:endnote w:type="continuationSeparator" w:id="0">
    <w:p w14:paraId="584E9F43" w14:textId="77777777" w:rsidR="00F50C71" w:rsidRPr="00FF5311" w:rsidRDefault="00F50C71">
      <w:pPr>
        <w:spacing w:after="0"/>
      </w:pPr>
      <w:r w:rsidRPr="00FF53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color w:val="005DA9"/>
        <w:sz w:val="16"/>
        <w:szCs w:val="16"/>
      </w:rPr>
    </w:sdtEndPr>
    <w:sdtContent>
      <w:p w14:paraId="024354E1" w14:textId="45949587" w:rsidR="005C2D9D" w:rsidRPr="00FF5311" w:rsidRDefault="005C2D9D" w:rsidP="005C2D9D">
        <w:pPr>
          <w:pStyle w:val="Stopka"/>
          <w:spacing w:before="60" w:after="240"/>
          <w:ind w:right="74"/>
          <w:jc w:val="right"/>
          <w:rPr>
            <w:color w:val="005DA9"/>
            <w:sz w:val="16"/>
            <w:szCs w:val="16"/>
          </w:rPr>
        </w:pPr>
        <w:r w:rsidRPr="00FF5311">
          <w:rPr>
            <w:b/>
            <w:bCs/>
            <w:noProof/>
            <w:color w:val="005DA9"/>
            <w:sz w:val="16"/>
            <w:szCs w:val="16"/>
          </w:rPr>
          <mc:AlternateContent>
            <mc:Choice Requires="wps">
              <w:drawing>
                <wp:anchor distT="0" distB="0" distL="114300" distR="114300" simplePos="0" relativeHeight="251669504" behindDoc="0" locked="0" layoutInCell="1" allowOverlap="1" wp14:anchorId="51223FDC" wp14:editId="29F8B656">
                  <wp:simplePos x="0" y="0"/>
                  <wp:positionH relativeFrom="column">
                    <wp:posOffset>3486150</wp:posOffset>
                  </wp:positionH>
                  <wp:positionV relativeFrom="paragraph">
                    <wp:posOffset>91440</wp:posOffset>
                  </wp:positionV>
                  <wp:extent cx="1676400" cy="45719"/>
                  <wp:effectExtent l="0" t="0" r="0" b="0"/>
                  <wp:wrapNone/>
                  <wp:docPr id="1452551219" name="Prostokąt 1452551219"/>
                  <wp:cNvGraphicFramePr/>
                  <a:graphic xmlns:a="http://schemas.openxmlformats.org/drawingml/2006/main">
                    <a:graphicData uri="http://schemas.microsoft.com/office/word/2010/wordprocessingShape">
                      <wps:wsp>
                        <wps:cNvSpPr/>
                        <wps:spPr>
                          <a:xfrm>
                            <a:off x="0" y="0"/>
                            <a:ext cx="1676400" cy="45719"/>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476DAD">
                <v:rect id="Prostokąt 1452551219" style="position:absolute;margin-left:274.5pt;margin-top:7.2pt;width:13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5da9" stroked="f" strokeweight="1pt" w14:anchorId="57AFD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"/>
              </w:pict>
            </mc:Fallback>
          </mc:AlternateContent>
        </w:r>
        <w:r w:rsidRPr="00FF5311">
          <w:rPr>
            <w:noProof/>
            <w:color w:val="005DA9"/>
            <w:sz w:val="16"/>
            <w:szCs w:val="16"/>
          </w:rPr>
          <w:drawing>
            <wp:anchor distT="0" distB="0" distL="114300" distR="114300" simplePos="0" relativeHeight="251670528" behindDoc="0" locked="0" layoutInCell="1" allowOverlap="1" wp14:anchorId="4577CBCC" wp14:editId="1FD220AF">
              <wp:simplePos x="0" y="0"/>
              <wp:positionH relativeFrom="column">
                <wp:posOffset>6089848</wp:posOffset>
              </wp:positionH>
              <wp:positionV relativeFrom="paragraph">
                <wp:posOffset>-86723</wp:posOffset>
              </wp:positionV>
              <wp:extent cx="143999" cy="395999"/>
              <wp:effectExtent l="0" t="0" r="8890" b="4445"/>
              <wp:wrapNone/>
              <wp:docPr id="1623378472"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FF5311">
          <w:rPr>
            <w:b/>
            <w:bCs/>
            <w:noProof/>
            <w:color w:val="005DA9"/>
            <w:sz w:val="16"/>
            <w:szCs w:val="16"/>
          </w:rPr>
          <mc:AlternateContent>
            <mc:Choice Requires="wps">
              <w:drawing>
                <wp:anchor distT="0" distB="0" distL="114300" distR="114300" simplePos="0" relativeHeight="251668480" behindDoc="0" locked="0" layoutInCell="1" allowOverlap="1" wp14:anchorId="5B3CAFAA" wp14:editId="422C01A5">
                  <wp:simplePos x="0" y="0"/>
                  <wp:positionH relativeFrom="column">
                    <wp:posOffset>0</wp:posOffset>
                  </wp:positionH>
                  <wp:positionV relativeFrom="paragraph">
                    <wp:posOffset>92710</wp:posOffset>
                  </wp:positionV>
                  <wp:extent cx="3505835" cy="28800"/>
                  <wp:effectExtent l="0" t="0" r="0" b="9525"/>
                  <wp:wrapNone/>
                  <wp:docPr id="1910360783" name="Prostokąt 1910360783"/>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E46D3E4">
                <v:rect id="Prostokąt 1910360783" style="position:absolute;margin-left:0;margin-top:7.3pt;width:276.0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0cc3c" stroked="f" strokeweight="1pt" w14:anchorId="61EC6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w:pict>
            </mc:Fallback>
          </mc:AlternateContent>
        </w:r>
        <w:r w:rsidRPr="00FF5311">
          <w:rPr>
            <w:b/>
            <w:bCs/>
            <w:color w:val="005DA9"/>
            <w:sz w:val="16"/>
            <w:szCs w:val="16"/>
          </w:rPr>
          <w:fldChar w:fldCharType="begin"/>
        </w:r>
        <w:r w:rsidRPr="00FF5311">
          <w:rPr>
            <w:b/>
            <w:bCs/>
            <w:color w:val="005DA9"/>
            <w:sz w:val="16"/>
            <w:szCs w:val="16"/>
          </w:rPr>
          <w:instrText>PAGE   \* MERGEFORMAT</w:instrText>
        </w:r>
        <w:r w:rsidRPr="00FF5311">
          <w:rPr>
            <w:b/>
            <w:bCs/>
            <w:color w:val="005DA9"/>
            <w:sz w:val="16"/>
            <w:szCs w:val="16"/>
          </w:rPr>
          <w:fldChar w:fldCharType="separate"/>
        </w:r>
        <w:r w:rsidR="497B2BD0" w:rsidRPr="00FF5311">
          <w:rPr>
            <w:b/>
            <w:bCs/>
            <w:color w:val="005DA9"/>
            <w:sz w:val="16"/>
            <w:szCs w:val="16"/>
          </w:rPr>
          <w:t>1</w:t>
        </w:r>
        <w:r w:rsidRPr="00FF5311">
          <w:rPr>
            <w:b/>
            <w:bCs/>
            <w:color w:val="005DA9"/>
            <w:sz w:val="16"/>
            <w:szCs w:val="16"/>
          </w:rPr>
          <w:fldChar w:fldCharType="end"/>
        </w:r>
        <w:r w:rsidR="497B2BD0" w:rsidRPr="00FF5311">
          <w:rPr>
            <w:color w:val="005DA9"/>
            <w:sz w:val="16"/>
            <w:szCs w:val="16"/>
          </w:rPr>
          <w:t xml:space="preserve"> z </w:t>
        </w:r>
        <w:r w:rsidRPr="00FF5311">
          <w:rPr>
            <w:color w:val="005DA9"/>
            <w:sz w:val="16"/>
            <w:szCs w:val="16"/>
          </w:rPr>
          <w:fldChar w:fldCharType="begin"/>
        </w:r>
        <w:r w:rsidRPr="00FF5311">
          <w:rPr>
            <w:color w:val="005DA9"/>
            <w:sz w:val="16"/>
            <w:szCs w:val="16"/>
          </w:rPr>
          <w:instrText xml:space="preserve"> NUMPAGES  \# "0"  \* MERGEFORMAT </w:instrText>
        </w:r>
        <w:r w:rsidRPr="00FF5311">
          <w:rPr>
            <w:color w:val="005DA9"/>
            <w:sz w:val="16"/>
            <w:szCs w:val="16"/>
          </w:rPr>
          <w:fldChar w:fldCharType="separate"/>
        </w:r>
        <w:r w:rsidR="497B2BD0" w:rsidRPr="00FF5311">
          <w:rPr>
            <w:color w:val="005DA9"/>
            <w:sz w:val="16"/>
            <w:szCs w:val="16"/>
          </w:rPr>
          <w:t>7</w:t>
        </w:r>
        <w:r w:rsidRPr="00FF5311">
          <w:rPr>
            <w:color w:val="005DA9"/>
            <w:sz w:val="16"/>
            <w:szCs w:val="16"/>
          </w:rPr>
          <w:fldChar w:fldCharType="end"/>
        </w:r>
      </w:p>
    </w:sdtContent>
  </w:sdt>
  <w:p w14:paraId="6C1BF5CE" w14:textId="77777777" w:rsidR="005C2D9D" w:rsidRPr="00FF5311" w:rsidRDefault="497B2BD0" w:rsidP="005C2D9D">
    <w:pPr>
      <w:pStyle w:val="Stopka"/>
      <w:tabs>
        <w:tab w:val="left" w:pos="2450"/>
        <w:tab w:val="left" w:pos="2694"/>
        <w:tab w:val="left" w:pos="5502"/>
      </w:tabs>
      <w:rPr>
        <w:rFonts w:cs="Calibri"/>
        <w:sz w:val="16"/>
        <w:szCs w:val="16"/>
      </w:rPr>
    </w:pPr>
    <w:r w:rsidRPr="497B2BD0">
      <w:rPr>
        <w:sz w:val="16"/>
        <w:szCs w:val="16"/>
      </w:rPr>
      <w:t>Centrum e-Zdrowia</w:t>
    </w:r>
    <w:r w:rsidR="005C2D9D">
      <w:tab/>
    </w:r>
    <w:r w:rsidRPr="497B2BD0">
      <w:rPr>
        <w:sz w:val="16"/>
        <w:szCs w:val="16"/>
      </w:rPr>
      <w:t xml:space="preserve">tel.: </w:t>
    </w:r>
    <w:r w:rsidRPr="497B2BD0">
      <w:rPr>
        <w:rFonts w:cs="Calibri"/>
        <w:sz w:val="16"/>
        <w:szCs w:val="16"/>
      </w:rPr>
      <w:t>+48 22 597-09-27</w:t>
    </w:r>
  </w:p>
  <w:p w14:paraId="07B1D747" w14:textId="77777777" w:rsidR="005C2D9D" w:rsidRPr="00FF5311" w:rsidRDefault="497B2BD0" w:rsidP="005C2D9D">
    <w:pPr>
      <w:pStyle w:val="Stopka"/>
      <w:tabs>
        <w:tab w:val="left" w:pos="2450"/>
        <w:tab w:val="left" w:pos="5502"/>
      </w:tabs>
      <w:rPr>
        <w:rFonts w:cs="Calibri"/>
        <w:sz w:val="16"/>
        <w:szCs w:val="16"/>
      </w:rPr>
    </w:pPr>
    <w:r w:rsidRPr="497B2BD0">
      <w:rPr>
        <w:sz w:val="16"/>
        <w:szCs w:val="16"/>
      </w:rPr>
      <w:t>ul. Stanisława Dubois 5A</w:t>
    </w:r>
    <w:r w:rsidR="005C2D9D">
      <w:tab/>
    </w:r>
    <w:r w:rsidRPr="497B2BD0">
      <w:rPr>
        <w:rFonts w:cs="Calibri"/>
        <w:sz w:val="16"/>
        <w:szCs w:val="16"/>
      </w:rPr>
      <w:t>fax: +48 22 597-09-37</w:t>
    </w:r>
    <w:r w:rsidR="005C2D9D">
      <w:tab/>
    </w:r>
    <w:r w:rsidRPr="497B2BD0">
      <w:rPr>
        <w:rFonts w:cs="Calibri"/>
        <w:sz w:val="16"/>
        <w:szCs w:val="16"/>
      </w:rPr>
      <w:t>NIP: 5251575309</w:t>
    </w:r>
  </w:p>
  <w:p w14:paraId="4C9C7783" w14:textId="77777777" w:rsidR="005C2D9D" w:rsidRPr="00FF5311" w:rsidRDefault="497B2BD0" w:rsidP="005C2D9D">
    <w:pPr>
      <w:pStyle w:val="Stopka"/>
      <w:tabs>
        <w:tab w:val="left" w:pos="2450"/>
        <w:tab w:val="left" w:pos="5502"/>
        <w:tab w:val="left" w:pos="8647"/>
      </w:tabs>
      <w:rPr>
        <w:rFonts w:cs="Calibri"/>
        <w:sz w:val="16"/>
        <w:szCs w:val="16"/>
      </w:rPr>
    </w:pPr>
    <w:r w:rsidRPr="497B2BD0">
      <w:rPr>
        <w:rFonts w:cs="Calibri"/>
        <w:sz w:val="16"/>
        <w:szCs w:val="16"/>
      </w:rPr>
      <w:t>00-184 Warszawa</w:t>
    </w:r>
    <w:r w:rsidR="005C2D9D">
      <w:tab/>
    </w:r>
    <w:r w:rsidRPr="497B2BD0">
      <w:rPr>
        <w:rFonts w:cs="Calibri"/>
        <w:sz w:val="16"/>
        <w:szCs w:val="16"/>
        <w:u w:val="single"/>
      </w:rPr>
      <w:t>biuro@cez.gov.pl</w:t>
    </w:r>
    <w:r w:rsidRPr="497B2BD0">
      <w:rPr>
        <w:rFonts w:cs="Calibri"/>
        <w:sz w:val="16"/>
        <w:szCs w:val="16"/>
      </w:rPr>
      <w:t xml:space="preserve"> | </w:t>
    </w:r>
    <w:r w:rsidRPr="497B2BD0">
      <w:rPr>
        <w:rFonts w:cs="Calibri"/>
        <w:sz w:val="16"/>
        <w:szCs w:val="16"/>
        <w:u w:val="single"/>
      </w:rPr>
      <w:t>www.cez.gov.pl</w:t>
    </w:r>
    <w:r w:rsidR="005C2D9D">
      <w:tab/>
    </w:r>
    <w:r w:rsidRPr="497B2BD0">
      <w:rPr>
        <w:rFonts w:cs="Calibri"/>
        <w:sz w:val="16"/>
        <w:szCs w:val="16"/>
      </w:rPr>
      <w:t>REGON: 001377706</w:t>
    </w:r>
  </w:p>
  <w:p w14:paraId="29A1C9B0" w14:textId="0D6B7C6C" w:rsidR="005C2D9D" w:rsidRPr="00FF5311" w:rsidRDefault="497B2BD0" w:rsidP="005C2D9D">
    <w:pPr>
      <w:pStyle w:val="Stopka"/>
      <w:tabs>
        <w:tab w:val="left" w:pos="2450"/>
        <w:tab w:val="left" w:pos="5502"/>
        <w:tab w:val="left" w:pos="8647"/>
      </w:tabs>
      <w:spacing w:before="120"/>
    </w:pPr>
    <w:r>
      <w:rPr>
        <w:noProof/>
      </w:rPr>
      <w:drawing>
        <wp:inline distT="0" distB="0" distL="0" distR="0" wp14:anchorId="6F90EC03" wp14:editId="09A7D535">
          <wp:extent cx="1714500" cy="762000"/>
          <wp:effectExtent l="0" t="0" r="0" b="0"/>
          <wp:docPr id="18" name="Obraz 4" descr="Logo Fundusze Europejskie na Rozwój Cyf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Fundusze Europejskie na Rozwój Cyfrow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62000"/>
                  </a:xfrm>
                  <a:prstGeom prst="rect">
                    <a:avLst/>
                  </a:prstGeom>
                  <a:noFill/>
                  <a:ln>
                    <a:noFill/>
                  </a:ln>
                </pic:spPr>
              </pic:pic>
            </a:graphicData>
          </a:graphic>
        </wp:inline>
      </w:drawing>
    </w:r>
    <w:r>
      <w:rPr>
        <w:noProof/>
      </w:rPr>
      <w:drawing>
        <wp:inline distT="0" distB="0" distL="0" distR="0" wp14:anchorId="6D9C7D70" wp14:editId="0927634D">
          <wp:extent cx="1706756" cy="736600"/>
          <wp:effectExtent l="0" t="0" r="8255" b="6350"/>
          <wp:docPr id="17" name="Obraz 5"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ga i napis Rzeczpospolita Polsk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055" cy="740613"/>
                  </a:xfrm>
                  <a:prstGeom prst="rect">
                    <a:avLst/>
                  </a:prstGeom>
                  <a:noFill/>
                  <a:ln>
                    <a:noFill/>
                  </a:ln>
                </pic:spPr>
              </pic:pic>
            </a:graphicData>
          </a:graphic>
        </wp:inline>
      </w:drawing>
    </w:r>
    <w:r>
      <w:rPr>
        <w:noProof/>
      </w:rPr>
      <w:drawing>
        <wp:inline distT="0" distB="0" distL="0" distR="0" wp14:anchorId="6EC4BB40" wp14:editId="254CD82E">
          <wp:extent cx="2105607" cy="825500"/>
          <wp:effectExtent l="0" t="0" r="9525" b="0"/>
          <wp:docPr id="16" name="Obraz 6" descr="Flaga Unii Europejskiej i napis Dofinansowane prze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aga Unii Europejskiej i napis Dofinansowane prze Unię Europejską"/>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7540" cy="841940"/>
                  </a:xfrm>
                  <a:prstGeom prst="rect">
                    <a:avLst/>
                  </a:prstGeom>
                  <a:noFill/>
                  <a:ln>
                    <a:noFill/>
                  </a:ln>
                </pic:spPr>
              </pic:pic>
            </a:graphicData>
          </a:graphic>
        </wp:inline>
      </w:drawing>
    </w:r>
  </w:p>
  <w:p w14:paraId="703E533C" w14:textId="6C89EC83" w:rsidR="003636B1" w:rsidRPr="00FF5311" w:rsidRDefault="003636B1" w:rsidP="005C2D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99080"/>
      <w:docPartObj>
        <w:docPartGallery w:val="Page Numbers (Bottom of Page)"/>
        <w:docPartUnique/>
      </w:docPartObj>
    </w:sdtPr>
    <w:sdtEndPr>
      <w:rPr>
        <w:color w:val="005DA9"/>
        <w:sz w:val="16"/>
        <w:szCs w:val="16"/>
      </w:rPr>
    </w:sdtEndPr>
    <w:sdtContent>
      <w:p w14:paraId="2123E643" w14:textId="6F32F6DE" w:rsidR="003636B1" w:rsidRPr="00FF5311" w:rsidRDefault="003636B1" w:rsidP="00A60951">
        <w:pPr>
          <w:pStyle w:val="Stopka"/>
          <w:tabs>
            <w:tab w:val="clear" w:pos="9072"/>
          </w:tabs>
          <w:spacing w:before="60" w:after="240"/>
          <w:ind w:right="74"/>
          <w:jc w:val="right"/>
          <w:rPr>
            <w:color w:val="005DA9"/>
            <w:sz w:val="16"/>
            <w:szCs w:val="16"/>
          </w:rPr>
        </w:pPr>
        <w:r w:rsidRPr="00FF5311">
          <w:rPr>
            <w:noProof/>
          </w:rPr>
          <w:drawing>
            <wp:anchor distT="0" distB="0" distL="114300" distR="114300" simplePos="0" relativeHeight="251666432" behindDoc="1" locked="0" layoutInCell="1" allowOverlap="1" wp14:anchorId="08221F1C" wp14:editId="20102BF2">
              <wp:simplePos x="0" y="0"/>
              <wp:positionH relativeFrom="margin">
                <wp:posOffset>4810125</wp:posOffset>
              </wp:positionH>
              <wp:positionV relativeFrom="paragraph">
                <wp:posOffset>100965</wp:posOffset>
              </wp:positionV>
              <wp:extent cx="712800" cy="712800"/>
              <wp:effectExtent l="0" t="0" r="0" b="0"/>
              <wp:wrapNone/>
              <wp:docPr id="8470870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FF5311">
          <w:rPr>
            <w:noProof/>
            <w:color w:val="005DA9"/>
            <w:sz w:val="16"/>
            <w:szCs w:val="16"/>
          </w:rPr>
          <w:drawing>
            <wp:anchor distT="0" distB="0" distL="114300" distR="114300" simplePos="0" relativeHeight="251665408" behindDoc="0" locked="0" layoutInCell="1" allowOverlap="1" wp14:anchorId="2772B44A" wp14:editId="767B3865">
              <wp:simplePos x="0" y="0"/>
              <wp:positionH relativeFrom="column">
                <wp:posOffset>6089848</wp:posOffset>
              </wp:positionH>
              <wp:positionV relativeFrom="paragraph">
                <wp:posOffset>-86723</wp:posOffset>
              </wp:positionV>
              <wp:extent cx="143999" cy="395999"/>
              <wp:effectExtent l="0" t="0" r="8890" b="4445"/>
              <wp:wrapNone/>
              <wp:docPr id="1872111611"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FF5311">
          <w:rPr>
            <w:b/>
            <w:bCs/>
            <w:noProof/>
            <w:color w:val="005DA9"/>
            <w:sz w:val="16"/>
            <w:szCs w:val="16"/>
          </w:rPr>
          <mc:AlternateContent>
            <mc:Choice Requires="wps">
              <w:drawing>
                <wp:anchor distT="0" distB="0" distL="114300" distR="114300" simplePos="0" relativeHeight="251661312" behindDoc="0" locked="0" layoutInCell="1" allowOverlap="1" wp14:anchorId="702F7FC3" wp14:editId="69454C74">
                  <wp:simplePos x="0" y="0"/>
                  <wp:positionH relativeFrom="column">
                    <wp:posOffset>0</wp:posOffset>
                  </wp:positionH>
                  <wp:positionV relativeFrom="paragraph">
                    <wp:posOffset>92710</wp:posOffset>
                  </wp:positionV>
                  <wp:extent cx="3505835" cy="28800"/>
                  <wp:effectExtent l="0" t="0" r="0" b="9525"/>
                  <wp:wrapNone/>
                  <wp:docPr id="1" name="Prostokąt 1"/>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5D9E59">
                <v:rect id="Prostokąt 1" style="position:absolute;margin-left:0;margin-top:7.3pt;width:276.0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0cc3c" stroked="f" strokeweight="1pt" w14:anchorId="126C5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w:pict>
            </mc:Fallback>
          </mc:AlternateContent>
        </w:r>
        <w:r w:rsidRPr="00FF5311">
          <w:rPr>
            <w:b/>
            <w:bCs/>
            <w:noProof/>
            <w:color w:val="005DA9"/>
            <w:sz w:val="16"/>
            <w:szCs w:val="16"/>
          </w:rPr>
          <mc:AlternateContent>
            <mc:Choice Requires="wps">
              <w:drawing>
                <wp:anchor distT="0" distB="0" distL="114300" distR="114300" simplePos="0" relativeHeight="251663360" behindDoc="0" locked="0" layoutInCell="1" allowOverlap="1" wp14:anchorId="2292FEA5" wp14:editId="7C3FC71F">
                  <wp:simplePos x="0" y="0"/>
                  <wp:positionH relativeFrom="column">
                    <wp:posOffset>3488690</wp:posOffset>
                  </wp:positionH>
                  <wp:positionV relativeFrom="paragraph">
                    <wp:posOffset>92710</wp:posOffset>
                  </wp:positionV>
                  <wp:extent cx="1979930" cy="28800"/>
                  <wp:effectExtent l="0" t="0" r="1270" b="9525"/>
                  <wp:wrapNone/>
                  <wp:docPr id="5" name="Prostokąt 5"/>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173645">
                <v:rect id="Prostokąt 5" style="position:absolute;margin-left:274.7pt;margin-top:7.3pt;width:155.9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5da9" stroked="f" strokeweight="1pt" w14:anchorId="7167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w:pict>
            </mc:Fallback>
          </mc:AlternateContent>
        </w:r>
        <w:r w:rsidRPr="00FF5311">
          <w:rPr>
            <w:b/>
            <w:bCs/>
            <w:color w:val="005DA9"/>
            <w:sz w:val="16"/>
            <w:szCs w:val="16"/>
          </w:rPr>
          <w:fldChar w:fldCharType="begin"/>
        </w:r>
        <w:r w:rsidRPr="00FF5311">
          <w:rPr>
            <w:b/>
            <w:bCs/>
            <w:color w:val="005DA9"/>
            <w:sz w:val="16"/>
            <w:szCs w:val="16"/>
          </w:rPr>
          <w:instrText>PAGE   \* MERGEFORMAT</w:instrText>
        </w:r>
        <w:r w:rsidRPr="00FF5311">
          <w:rPr>
            <w:b/>
            <w:bCs/>
            <w:color w:val="005DA9"/>
            <w:sz w:val="16"/>
            <w:szCs w:val="16"/>
          </w:rPr>
          <w:fldChar w:fldCharType="separate"/>
        </w:r>
        <w:r w:rsidR="497B2BD0" w:rsidRPr="00FF5311">
          <w:rPr>
            <w:b/>
            <w:bCs/>
            <w:color w:val="005DA9"/>
            <w:sz w:val="16"/>
            <w:szCs w:val="16"/>
          </w:rPr>
          <w:t>1</w:t>
        </w:r>
        <w:r w:rsidRPr="00FF5311">
          <w:rPr>
            <w:b/>
            <w:bCs/>
            <w:color w:val="005DA9"/>
            <w:sz w:val="16"/>
            <w:szCs w:val="16"/>
          </w:rPr>
          <w:fldChar w:fldCharType="end"/>
        </w:r>
        <w:r w:rsidR="497B2BD0" w:rsidRPr="00FF5311">
          <w:rPr>
            <w:color w:val="005DA9"/>
            <w:sz w:val="16"/>
            <w:szCs w:val="16"/>
          </w:rPr>
          <w:t xml:space="preserve"> z </w:t>
        </w:r>
        <w:r w:rsidRPr="00FF5311">
          <w:rPr>
            <w:color w:val="005DA9"/>
            <w:sz w:val="16"/>
            <w:szCs w:val="16"/>
          </w:rPr>
          <w:fldChar w:fldCharType="begin"/>
        </w:r>
        <w:r w:rsidRPr="00FF5311">
          <w:rPr>
            <w:color w:val="005DA9"/>
            <w:sz w:val="16"/>
            <w:szCs w:val="16"/>
          </w:rPr>
          <w:instrText xml:space="preserve"> NUMPAGES  \# "0"  \* MERGEFORMAT </w:instrText>
        </w:r>
        <w:r w:rsidRPr="00FF5311">
          <w:rPr>
            <w:color w:val="005DA9"/>
            <w:sz w:val="16"/>
            <w:szCs w:val="16"/>
          </w:rPr>
          <w:fldChar w:fldCharType="separate"/>
        </w:r>
        <w:r w:rsidR="497B2BD0" w:rsidRPr="00FF5311">
          <w:rPr>
            <w:color w:val="005DA9"/>
            <w:sz w:val="16"/>
            <w:szCs w:val="16"/>
          </w:rPr>
          <w:t>1</w:t>
        </w:r>
        <w:r w:rsidRPr="00FF5311">
          <w:rPr>
            <w:color w:val="005DA9"/>
            <w:sz w:val="16"/>
            <w:szCs w:val="16"/>
          </w:rPr>
          <w:fldChar w:fldCharType="end"/>
        </w:r>
      </w:p>
    </w:sdtContent>
  </w:sdt>
  <w:p w14:paraId="79456BA8" w14:textId="77777777" w:rsidR="003636B1" w:rsidRPr="00FF5311" w:rsidRDefault="497B2BD0" w:rsidP="497B2BD0">
    <w:pPr>
      <w:pStyle w:val="Stopka"/>
      <w:tabs>
        <w:tab w:val="clear" w:pos="4536"/>
        <w:tab w:val="left" w:pos="2450"/>
        <w:tab w:val="left" w:pos="2694"/>
        <w:tab w:val="left" w:pos="5502"/>
      </w:tabs>
      <w:rPr>
        <w:rFonts w:eastAsiaTheme="minorEastAsia" w:cs="Calibri"/>
        <w:sz w:val="16"/>
        <w:szCs w:val="16"/>
      </w:rPr>
    </w:pPr>
    <w:r w:rsidRPr="497B2BD0">
      <w:rPr>
        <w:sz w:val="16"/>
        <w:szCs w:val="16"/>
      </w:rPr>
      <w:t>Centrum e-Zdrowia</w:t>
    </w:r>
    <w:r w:rsidR="17B48CBE">
      <w:tab/>
    </w:r>
    <w:r w:rsidRPr="497B2BD0">
      <w:rPr>
        <w:sz w:val="16"/>
        <w:szCs w:val="16"/>
      </w:rPr>
      <w:t xml:space="preserve">tel.: </w:t>
    </w:r>
    <w:r w:rsidRPr="497B2BD0">
      <w:rPr>
        <w:rFonts w:eastAsiaTheme="minorEastAsia" w:cs="Calibri"/>
        <w:sz w:val="16"/>
        <w:szCs w:val="16"/>
      </w:rPr>
      <w:t>+48 22 597-09-27</w:t>
    </w:r>
  </w:p>
  <w:p w14:paraId="77400BA2" w14:textId="77777777" w:rsidR="003636B1" w:rsidRPr="00FF5311" w:rsidRDefault="497B2BD0" w:rsidP="497B2BD0">
    <w:pPr>
      <w:pStyle w:val="Stopka"/>
      <w:tabs>
        <w:tab w:val="clear" w:pos="4536"/>
        <w:tab w:val="left" w:pos="2450"/>
        <w:tab w:val="left" w:pos="5502"/>
      </w:tabs>
      <w:rPr>
        <w:rFonts w:eastAsiaTheme="minorEastAsia" w:cs="Calibri"/>
        <w:sz w:val="16"/>
        <w:szCs w:val="16"/>
      </w:rPr>
    </w:pPr>
    <w:r w:rsidRPr="497B2BD0">
      <w:rPr>
        <w:sz w:val="16"/>
        <w:szCs w:val="16"/>
      </w:rPr>
      <w:t>ul. Stanisława Dubois 5A</w:t>
    </w:r>
    <w:r w:rsidR="17B48CBE">
      <w:tab/>
    </w:r>
    <w:r w:rsidRPr="497B2BD0">
      <w:rPr>
        <w:rFonts w:eastAsiaTheme="minorEastAsia" w:cs="Calibri"/>
        <w:sz w:val="16"/>
        <w:szCs w:val="16"/>
      </w:rPr>
      <w:t>fax: +48 22 597-09-37</w:t>
    </w:r>
    <w:r w:rsidR="17B48CBE">
      <w:tab/>
    </w:r>
    <w:r w:rsidRPr="497B2BD0">
      <w:rPr>
        <w:rFonts w:eastAsiaTheme="minorEastAsia" w:cs="Calibri"/>
        <w:sz w:val="16"/>
        <w:szCs w:val="16"/>
      </w:rPr>
      <w:t>NIP: 5251575309</w:t>
    </w:r>
  </w:p>
  <w:p w14:paraId="6F0B2C93" w14:textId="77777777" w:rsidR="003636B1" w:rsidRPr="00FF5311" w:rsidRDefault="497B2BD0" w:rsidP="497B2BD0">
    <w:pPr>
      <w:pStyle w:val="Stopka"/>
      <w:tabs>
        <w:tab w:val="clear" w:pos="4536"/>
        <w:tab w:val="clear" w:pos="9072"/>
        <w:tab w:val="left" w:pos="2450"/>
        <w:tab w:val="left" w:pos="5502"/>
        <w:tab w:val="left" w:pos="8647"/>
      </w:tabs>
      <w:rPr>
        <w:rFonts w:eastAsiaTheme="minorEastAsia" w:cs="Calibri"/>
        <w:sz w:val="16"/>
        <w:szCs w:val="16"/>
      </w:rPr>
    </w:pPr>
    <w:r w:rsidRPr="497B2BD0">
      <w:rPr>
        <w:rFonts w:eastAsiaTheme="minorEastAsia" w:cs="Calibri"/>
        <w:sz w:val="16"/>
        <w:szCs w:val="16"/>
      </w:rPr>
      <w:t>00-184 Warszawa</w:t>
    </w:r>
    <w:r w:rsidR="003636B1" w:rsidRPr="00FF5311">
      <w:rPr>
        <w:rFonts w:cs="Calibri"/>
        <w:sz w:val="16"/>
        <w:szCs w:val="16"/>
      </w:rPr>
      <w:tab/>
    </w:r>
    <w:r w:rsidRPr="497B2BD0">
      <w:rPr>
        <w:rFonts w:eastAsiaTheme="minorEastAsia" w:cs="Calibri"/>
        <w:sz w:val="16"/>
        <w:szCs w:val="16"/>
        <w:u w:val="single"/>
      </w:rPr>
      <w:t>biuro@cez.gov.pl</w:t>
    </w:r>
    <w:r w:rsidRPr="497B2BD0">
      <w:rPr>
        <w:rFonts w:eastAsiaTheme="minorEastAsia" w:cs="Calibri"/>
        <w:sz w:val="16"/>
        <w:szCs w:val="16"/>
      </w:rPr>
      <w:t xml:space="preserve"> | </w:t>
    </w:r>
    <w:r w:rsidRPr="497B2BD0">
      <w:rPr>
        <w:rFonts w:eastAsiaTheme="minorEastAsia" w:cs="Calibri"/>
        <w:sz w:val="16"/>
        <w:szCs w:val="16"/>
        <w:u w:val="single"/>
      </w:rPr>
      <w:t>www.cez.gov.pl</w:t>
    </w:r>
    <w:r w:rsidR="003636B1" w:rsidRPr="00FF5311">
      <w:rPr>
        <w:rFonts w:cs="Calibri"/>
        <w:sz w:val="16"/>
        <w:szCs w:val="16"/>
      </w:rPr>
      <w:tab/>
    </w:r>
    <w:r w:rsidRPr="497B2BD0">
      <w:rPr>
        <w:rFonts w:eastAsiaTheme="minorEastAsia" w:cs="Calibri"/>
        <w:sz w:val="16"/>
        <w:szCs w:val="16"/>
      </w:rPr>
      <w:t>REGON: 001377706</w:t>
    </w:r>
    <w:r w:rsidR="003636B1" w:rsidRPr="00FF5311">
      <w:rPr>
        <w:rFonts w:cs="Calibri"/>
        <w:noProof/>
        <w:sz w:val="16"/>
        <w:szCs w:val="16"/>
      </w:rPr>
      <w:drawing>
        <wp:anchor distT="0" distB="0" distL="114300" distR="114300" simplePos="0" relativeHeight="251659264" behindDoc="0" locked="0" layoutInCell="1" allowOverlap="1" wp14:anchorId="35C6DF88" wp14:editId="297A3435">
          <wp:simplePos x="0" y="0"/>
          <wp:positionH relativeFrom="column">
            <wp:posOffset>2080260</wp:posOffset>
          </wp:positionH>
          <wp:positionV relativeFrom="paragraph">
            <wp:posOffset>449580</wp:posOffset>
          </wp:positionV>
          <wp:extent cx="1080000" cy="259200"/>
          <wp:effectExtent l="0" t="0" r="6350" b="7620"/>
          <wp:wrapNone/>
          <wp:docPr id="60594968" name="Obraz 60594968"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003636B1" w:rsidRPr="00FF5311">
      <w:rPr>
        <w:noProof/>
        <w:sz w:val="20"/>
        <w:szCs w:val="20"/>
      </w:rPr>
      <w:drawing>
        <wp:anchor distT="0" distB="0" distL="114300" distR="114300" simplePos="0" relativeHeight="251660288" behindDoc="0" locked="0" layoutInCell="1" allowOverlap="1" wp14:anchorId="503199E3" wp14:editId="19E981FE">
          <wp:simplePos x="0" y="0"/>
          <wp:positionH relativeFrom="column">
            <wp:posOffset>4195445</wp:posOffset>
          </wp:positionH>
          <wp:positionV relativeFrom="paragraph">
            <wp:posOffset>425450</wp:posOffset>
          </wp:positionV>
          <wp:extent cx="1332000" cy="297947"/>
          <wp:effectExtent l="0" t="0" r="1905" b="6985"/>
          <wp:wrapNone/>
          <wp:docPr id="602569030" name="Obraz 602569030"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003636B1" w:rsidRPr="00FF5311">
      <w:rPr>
        <w:noProof/>
        <w:sz w:val="20"/>
        <w:szCs w:val="20"/>
      </w:rPr>
      <w:drawing>
        <wp:anchor distT="0" distB="0" distL="114300" distR="114300" simplePos="0" relativeHeight="251658240" behindDoc="0" locked="0" layoutInCell="1" allowOverlap="1" wp14:anchorId="2E2CAFA9" wp14:editId="035BBDB1">
          <wp:simplePos x="0" y="0"/>
          <wp:positionH relativeFrom="column">
            <wp:posOffset>-28575</wp:posOffset>
          </wp:positionH>
          <wp:positionV relativeFrom="paragraph">
            <wp:posOffset>370840</wp:posOffset>
          </wp:positionV>
          <wp:extent cx="864000" cy="395520"/>
          <wp:effectExtent l="0" t="0" r="0" b="5080"/>
          <wp:wrapNone/>
          <wp:docPr id="1555888363" name="Obraz 1555888363"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D7D3" w14:textId="77777777" w:rsidR="00F50C71" w:rsidRPr="00FF5311" w:rsidRDefault="00F50C71">
      <w:pPr>
        <w:spacing w:after="0"/>
      </w:pPr>
      <w:r w:rsidRPr="00FF5311">
        <w:separator/>
      </w:r>
    </w:p>
  </w:footnote>
  <w:footnote w:type="continuationSeparator" w:id="0">
    <w:p w14:paraId="7E133588" w14:textId="77777777" w:rsidR="00F50C71" w:rsidRPr="00FF5311" w:rsidRDefault="00F50C71">
      <w:pPr>
        <w:spacing w:after="0"/>
      </w:pPr>
      <w:r w:rsidRPr="00FF531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194E"/>
    <w:multiLevelType w:val="hybridMultilevel"/>
    <w:tmpl w:val="E772A2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E07500"/>
    <w:multiLevelType w:val="hybridMultilevel"/>
    <w:tmpl w:val="E9A058E6"/>
    <w:lvl w:ilvl="0" w:tplc="E458C4EC">
      <w:start w:val="1"/>
      <w:numFmt w:val="bullet"/>
      <w:pStyle w:val="Akapitzlist"/>
      <w:lvlText w:val=""/>
      <w:lvlJc w:val="left"/>
      <w:pPr>
        <w:ind w:left="720" w:hanging="360"/>
      </w:pPr>
      <w:rPr>
        <w:rFonts w:ascii="Symbol" w:hAnsi="Symbol" w:hint="default"/>
        <w:color w:val="00519F"/>
      </w:rPr>
    </w:lvl>
    <w:lvl w:ilvl="1" w:tplc="36388FF0">
      <w:start w:val="1"/>
      <w:numFmt w:val="bullet"/>
      <w:lvlText w:val="○"/>
      <w:lvlJc w:val="left"/>
      <w:pPr>
        <w:ind w:left="1440" w:hanging="360"/>
      </w:pPr>
      <w:rPr>
        <w:rFonts w:ascii="Calibri" w:hAnsi="Calibri" w:hint="default"/>
        <w:color w:val="00519F"/>
        <w:sz w:val="18"/>
        <w:szCs w:val="18"/>
      </w:rPr>
    </w:lvl>
    <w:lvl w:ilvl="2" w:tplc="715C58AA" w:tentative="1">
      <w:start w:val="1"/>
      <w:numFmt w:val="bullet"/>
      <w:lvlText w:val=""/>
      <w:lvlJc w:val="left"/>
      <w:pPr>
        <w:ind w:left="2160" w:hanging="360"/>
      </w:pPr>
      <w:rPr>
        <w:rFonts w:ascii="Wingdings" w:hAnsi="Wingdings" w:hint="default"/>
      </w:rPr>
    </w:lvl>
    <w:lvl w:ilvl="3" w:tplc="F44E0E38" w:tentative="1">
      <w:start w:val="1"/>
      <w:numFmt w:val="bullet"/>
      <w:lvlText w:val=""/>
      <w:lvlJc w:val="left"/>
      <w:pPr>
        <w:ind w:left="2880" w:hanging="360"/>
      </w:pPr>
      <w:rPr>
        <w:rFonts w:ascii="Symbol" w:hAnsi="Symbol" w:hint="default"/>
      </w:rPr>
    </w:lvl>
    <w:lvl w:ilvl="4" w:tplc="C63EC78A" w:tentative="1">
      <w:start w:val="1"/>
      <w:numFmt w:val="bullet"/>
      <w:lvlText w:val="o"/>
      <w:lvlJc w:val="left"/>
      <w:pPr>
        <w:ind w:left="3600" w:hanging="360"/>
      </w:pPr>
      <w:rPr>
        <w:rFonts w:ascii="Courier New" w:hAnsi="Courier New" w:cs="Courier New" w:hint="default"/>
      </w:rPr>
    </w:lvl>
    <w:lvl w:ilvl="5" w:tplc="8286C308" w:tentative="1">
      <w:start w:val="1"/>
      <w:numFmt w:val="bullet"/>
      <w:lvlText w:val=""/>
      <w:lvlJc w:val="left"/>
      <w:pPr>
        <w:ind w:left="4320" w:hanging="360"/>
      </w:pPr>
      <w:rPr>
        <w:rFonts w:ascii="Wingdings" w:hAnsi="Wingdings" w:hint="default"/>
      </w:rPr>
    </w:lvl>
    <w:lvl w:ilvl="6" w:tplc="966AFB5C" w:tentative="1">
      <w:start w:val="1"/>
      <w:numFmt w:val="bullet"/>
      <w:lvlText w:val=""/>
      <w:lvlJc w:val="left"/>
      <w:pPr>
        <w:ind w:left="5040" w:hanging="360"/>
      </w:pPr>
      <w:rPr>
        <w:rFonts w:ascii="Symbol" w:hAnsi="Symbol" w:hint="default"/>
      </w:rPr>
    </w:lvl>
    <w:lvl w:ilvl="7" w:tplc="952E87FC" w:tentative="1">
      <w:start w:val="1"/>
      <w:numFmt w:val="bullet"/>
      <w:lvlText w:val="o"/>
      <w:lvlJc w:val="left"/>
      <w:pPr>
        <w:ind w:left="5760" w:hanging="360"/>
      </w:pPr>
      <w:rPr>
        <w:rFonts w:ascii="Courier New" w:hAnsi="Courier New" w:cs="Courier New" w:hint="default"/>
      </w:rPr>
    </w:lvl>
    <w:lvl w:ilvl="8" w:tplc="30769BC4" w:tentative="1">
      <w:start w:val="1"/>
      <w:numFmt w:val="bullet"/>
      <w:lvlText w:val=""/>
      <w:lvlJc w:val="left"/>
      <w:pPr>
        <w:ind w:left="6480" w:hanging="360"/>
      </w:pPr>
      <w:rPr>
        <w:rFonts w:ascii="Wingdings" w:hAnsi="Wingdings" w:hint="default"/>
      </w:rPr>
    </w:lvl>
  </w:abstractNum>
  <w:abstractNum w:abstractNumId="2" w15:restartNumberingAfterBreak="0">
    <w:nsid w:val="3E685C68"/>
    <w:multiLevelType w:val="hybridMultilevel"/>
    <w:tmpl w:val="784A1C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A9264B"/>
    <w:multiLevelType w:val="hybridMultilevel"/>
    <w:tmpl w:val="C3B6A584"/>
    <w:lvl w:ilvl="0" w:tplc="9648B886">
      <w:start w:val="1"/>
      <w:numFmt w:val="decimal"/>
      <w:lvlText w:val="%1."/>
      <w:lvlJc w:val="left"/>
      <w:pPr>
        <w:ind w:left="720" w:hanging="360"/>
      </w:pPr>
    </w:lvl>
    <w:lvl w:ilvl="1" w:tplc="5AEC6B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C02644"/>
    <w:multiLevelType w:val="hybridMultilevel"/>
    <w:tmpl w:val="4066F2A2"/>
    <w:lvl w:ilvl="0" w:tplc="8382A9FE">
      <w:start w:val="1"/>
      <w:numFmt w:val="bullet"/>
      <w:lvlText w:val=""/>
      <w:lvlJc w:val="left"/>
      <w:pPr>
        <w:ind w:left="965" w:hanging="360"/>
      </w:pPr>
      <w:rPr>
        <w:rFonts w:ascii="Symbol" w:hAnsi="Symbol" w:hint="default"/>
      </w:rPr>
    </w:lvl>
    <w:lvl w:ilvl="1" w:tplc="19F67B86">
      <w:start w:val="1"/>
      <w:numFmt w:val="bullet"/>
      <w:lvlText w:val="o"/>
      <w:lvlJc w:val="left"/>
      <w:pPr>
        <w:ind w:left="1685" w:hanging="360"/>
      </w:pPr>
      <w:rPr>
        <w:rFonts w:ascii="Courier New" w:hAnsi="Courier New" w:cs="Courier New" w:hint="default"/>
      </w:rPr>
    </w:lvl>
    <w:lvl w:ilvl="2" w:tplc="48DA61BC">
      <w:start w:val="1"/>
      <w:numFmt w:val="bullet"/>
      <w:lvlText w:val=""/>
      <w:lvlJc w:val="left"/>
      <w:pPr>
        <w:ind w:left="2405" w:hanging="360"/>
      </w:pPr>
      <w:rPr>
        <w:rFonts w:ascii="Wingdings" w:hAnsi="Wingdings" w:hint="default"/>
      </w:rPr>
    </w:lvl>
    <w:lvl w:ilvl="3" w:tplc="0508482A">
      <w:start w:val="1"/>
      <w:numFmt w:val="bullet"/>
      <w:lvlText w:val=""/>
      <w:lvlJc w:val="left"/>
      <w:pPr>
        <w:ind w:left="3125" w:hanging="360"/>
      </w:pPr>
      <w:rPr>
        <w:rFonts w:ascii="Symbol" w:hAnsi="Symbol" w:hint="default"/>
      </w:rPr>
    </w:lvl>
    <w:lvl w:ilvl="4" w:tplc="FB8A6A5A">
      <w:start w:val="1"/>
      <w:numFmt w:val="bullet"/>
      <w:lvlText w:val="o"/>
      <w:lvlJc w:val="left"/>
      <w:pPr>
        <w:ind w:left="3845" w:hanging="360"/>
      </w:pPr>
      <w:rPr>
        <w:rFonts w:ascii="Courier New" w:hAnsi="Courier New" w:cs="Courier New" w:hint="default"/>
      </w:rPr>
    </w:lvl>
    <w:lvl w:ilvl="5" w:tplc="8160A172">
      <w:start w:val="1"/>
      <w:numFmt w:val="bullet"/>
      <w:lvlText w:val=""/>
      <w:lvlJc w:val="left"/>
      <w:pPr>
        <w:ind w:left="4565" w:hanging="360"/>
      </w:pPr>
      <w:rPr>
        <w:rFonts w:ascii="Wingdings" w:hAnsi="Wingdings" w:hint="default"/>
      </w:rPr>
    </w:lvl>
    <w:lvl w:ilvl="6" w:tplc="22F44848">
      <w:start w:val="1"/>
      <w:numFmt w:val="bullet"/>
      <w:lvlText w:val=""/>
      <w:lvlJc w:val="left"/>
      <w:pPr>
        <w:ind w:left="5285" w:hanging="360"/>
      </w:pPr>
      <w:rPr>
        <w:rFonts w:ascii="Symbol" w:hAnsi="Symbol" w:hint="default"/>
      </w:rPr>
    </w:lvl>
    <w:lvl w:ilvl="7" w:tplc="7CC4CD5E">
      <w:start w:val="1"/>
      <w:numFmt w:val="bullet"/>
      <w:lvlText w:val="o"/>
      <w:lvlJc w:val="left"/>
      <w:pPr>
        <w:ind w:left="6005" w:hanging="360"/>
      </w:pPr>
      <w:rPr>
        <w:rFonts w:ascii="Courier New" w:hAnsi="Courier New" w:cs="Courier New" w:hint="default"/>
      </w:rPr>
    </w:lvl>
    <w:lvl w:ilvl="8" w:tplc="4DD2E4EA">
      <w:start w:val="1"/>
      <w:numFmt w:val="bullet"/>
      <w:lvlText w:val=""/>
      <w:lvlJc w:val="left"/>
      <w:pPr>
        <w:ind w:left="6725" w:hanging="360"/>
      </w:pPr>
      <w:rPr>
        <w:rFonts w:ascii="Wingdings" w:hAnsi="Wingdings" w:hint="default"/>
      </w:rPr>
    </w:lvl>
  </w:abstractNum>
  <w:abstractNum w:abstractNumId="5" w15:restartNumberingAfterBreak="0">
    <w:nsid w:val="6947277B"/>
    <w:multiLevelType w:val="hybridMultilevel"/>
    <w:tmpl w:val="9DAC78F8"/>
    <w:lvl w:ilvl="0" w:tplc="C546AA1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F0F6CD1"/>
    <w:multiLevelType w:val="multilevel"/>
    <w:tmpl w:val="B3288AA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161432957">
    <w:abstractNumId w:val="1"/>
  </w:num>
  <w:num w:numId="2" w16cid:durableId="24600674">
    <w:abstractNumId w:val="4"/>
  </w:num>
  <w:num w:numId="3" w16cid:durableId="2121139468">
    <w:abstractNumId w:val="3"/>
  </w:num>
  <w:num w:numId="4" w16cid:durableId="394472391">
    <w:abstractNumId w:val="2"/>
  </w:num>
  <w:num w:numId="5" w16cid:durableId="834564359">
    <w:abstractNumId w:val="5"/>
  </w:num>
  <w:num w:numId="6" w16cid:durableId="2067682216">
    <w:abstractNumId w:val="0"/>
  </w:num>
  <w:num w:numId="7" w16cid:durableId="672731304">
    <w:abstractNumId w:val="6"/>
  </w:num>
  <w:num w:numId="8" w16cid:durableId="876619435">
    <w:abstractNumId w:val="1"/>
  </w:num>
  <w:num w:numId="9" w16cid:durableId="288970993">
    <w:abstractNumId w:val="1"/>
  </w:num>
  <w:num w:numId="10" w16cid:durableId="1093743982">
    <w:abstractNumId w:val="1"/>
  </w:num>
  <w:num w:numId="11" w16cid:durableId="551578365">
    <w:abstractNumId w:val="1"/>
  </w:num>
  <w:num w:numId="12" w16cid:durableId="1845127876">
    <w:abstractNumId w:val="1"/>
  </w:num>
  <w:num w:numId="13" w16cid:durableId="1824589144">
    <w:abstractNumId w:val="1"/>
  </w:num>
  <w:num w:numId="14" w16cid:durableId="159350708">
    <w:abstractNumId w:val="1"/>
  </w:num>
  <w:num w:numId="15" w16cid:durableId="1706907162">
    <w:abstractNumId w:val="1"/>
  </w:num>
  <w:num w:numId="16" w16cid:durableId="1853257080">
    <w:abstractNumId w:val="1"/>
  </w:num>
  <w:num w:numId="17" w16cid:durableId="1018235720">
    <w:abstractNumId w:val="1"/>
  </w:num>
  <w:num w:numId="18" w16cid:durableId="2071070477">
    <w:abstractNumId w:val="1"/>
  </w:num>
  <w:num w:numId="19" w16cid:durableId="212695904">
    <w:abstractNumId w:val="1"/>
  </w:num>
  <w:num w:numId="20" w16cid:durableId="641427387">
    <w:abstractNumId w:val="1"/>
  </w:num>
  <w:num w:numId="21" w16cid:durableId="1126317685">
    <w:abstractNumId w:val="1"/>
  </w:num>
  <w:num w:numId="22" w16cid:durableId="873805134">
    <w:abstractNumId w:val="1"/>
  </w:num>
  <w:num w:numId="23" w16cid:durableId="665398299">
    <w:abstractNumId w:val="1"/>
  </w:num>
  <w:num w:numId="24" w16cid:durableId="1510290575">
    <w:abstractNumId w:val="1"/>
  </w:num>
  <w:num w:numId="25" w16cid:durableId="220093774">
    <w:abstractNumId w:val="1"/>
  </w:num>
  <w:num w:numId="26" w16cid:durableId="1928227663">
    <w:abstractNumId w:val="1"/>
  </w:num>
  <w:num w:numId="27" w16cid:durableId="64457914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4D"/>
    <w:rsid w:val="0000139E"/>
    <w:rsid w:val="00022CB5"/>
    <w:rsid w:val="00036109"/>
    <w:rsid w:val="000408E4"/>
    <w:rsid w:val="00040BC2"/>
    <w:rsid w:val="00044B7D"/>
    <w:rsid w:val="00056945"/>
    <w:rsid w:val="000576A4"/>
    <w:rsid w:val="00061AF7"/>
    <w:rsid w:val="00072D4D"/>
    <w:rsid w:val="00073C11"/>
    <w:rsid w:val="000829EC"/>
    <w:rsid w:val="00086970"/>
    <w:rsid w:val="000A76D5"/>
    <w:rsid w:val="000B19E1"/>
    <w:rsid w:val="000B584B"/>
    <w:rsid w:val="000B75C3"/>
    <w:rsid w:val="000B7B8C"/>
    <w:rsid w:val="000C70C6"/>
    <w:rsid w:val="000F54E6"/>
    <w:rsid w:val="00115867"/>
    <w:rsid w:val="00125067"/>
    <w:rsid w:val="001332B7"/>
    <w:rsid w:val="001357DA"/>
    <w:rsid w:val="00146FE2"/>
    <w:rsid w:val="00147A01"/>
    <w:rsid w:val="00147B13"/>
    <w:rsid w:val="00150085"/>
    <w:rsid w:val="00157B33"/>
    <w:rsid w:val="0017272C"/>
    <w:rsid w:val="001831C7"/>
    <w:rsid w:val="00187755"/>
    <w:rsid w:val="00194226"/>
    <w:rsid w:val="001B26CF"/>
    <w:rsid w:val="001B4DDD"/>
    <w:rsid w:val="001B5C3E"/>
    <w:rsid w:val="001B6DE6"/>
    <w:rsid w:val="001F6399"/>
    <w:rsid w:val="001F6B57"/>
    <w:rsid w:val="00207600"/>
    <w:rsid w:val="00212B8B"/>
    <w:rsid w:val="002303BD"/>
    <w:rsid w:val="00231ED3"/>
    <w:rsid w:val="00267274"/>
    <w:rsid w:val="00275E07"/>
    <w:rsid w:val="0027786D"/>
    <w:rsid w:val="00285CF6"/>
    <w:rsid w:val="002B08C4"/>
    <w:rsid w:val="002D0C65"/>
    <w:rsid w:val="002F004D"/>
    <w:rsid w:val="002F592D"/>
    <w:rsid w:val="0030367B"/>
    <w:rsid w:val="00317DF6"/>
    <w:rsid w:val="003249BF"/>
    <w:rsid w:val="003258F8"/>
    <w:rsid w:val="003340D3"/>
    <w:rsid w:val="00344E56"/>
    <w:rsid w:val="00346069"/>
    <w:rsid w:val="003636B1"/>
    <w:rsid w:val="00366C2F"/>
    <w:rsid w:val="00375A4B"/>
    <w:rsid w:val="00394CD2"/>
    <w:rsid w:val="003A223E"/>
    <w:rsid w:val="003A28B2"/>
    <w:rsid w:val="003C629A"/>
    <w:rsid w:val="003D0246"/>
    <w:rsid w:val="003D6738"/>
    <w:rsid w:val="003E1888"/>
    <w:rsid w:val="003F7334"/>
    <w:rsid w:val="004018D9"/>
    <w:rsid w:val="004027D0"/>
    <w:rsid w:val="0041253A"/>
    <w:rsid w:val="00415525"/>
    <w:rsid w:val="00416E49"/>
    <w:rsid w:val="00443B2E"/>
    <w:rsid w:val="004466BC"/>
    <w:rsid w:val="004651B6"/>
    <w:rsid w:val="00467007"/>
    <w:rsid w:val="004676FC"/>
    <w:rsid w:val="00483AFD"/>
    <w:rsid w:val="004A4523"/>
    <w:rsid w:val="004B10E0"/>
    <w:rsid w:val="004B4E54"/>
    <w:rsid w:val="004D23D3"/>
    <w:rsid w:val="004E057D"/>
    <w:rsid w:val="004E5E18"/>
    <w:rsid w:val="004F1F73"/>
    <w:rsid w:val="004F7FB0"/>
    <w:rsid w:val="00502581"/>
    <w:rsid w:val="005026D6"/>
    <w:rsid w:val="005048BF"/>
    <w:rsid w:val="0051406C"/>
    <w:rsid w:val="0051508E"/>
    <w:rsid w:val="00517833"/>
    <w:rsid w:val="005325C5"/>
    <w:rsid w:val="00537BE9"/>
    <w:rsid w:val="005625D3"/>
    <w:rsid w:val="00585A1E"/>
    <w:rsid w:val="005865A8"/>
    <w:rsid w:val="005A2EA2"/>
    <w:rsid w:val="005C2D9D"/>
    <w:rsid w:val="005D2C6C"/>
    <w:rsid w:val="005D7DD5"/>
    <w:rsid w:val="005E0011"/>
    <w:rsid w:val="005F39A7"/>
    <w:rsid w:val="00603835"/>
    <w:rsid w:val="006311C0"/>
    <w:rsid w:val="00641117"/>
    <w:rsid w:val="00647419"/>
    <w:rsid w:val="0067037A"/>
    <w:rsid w:val="006712F7"/>
    <w:rsid w:val="006719CF"/>
    <w:rsid w:val="0068208F"/>
    <w:rsid w:val="006A5F52"/>
    <w:rsid w:val="006B7CD7"/>
    <w:rsid w:val="006E57C9"/>
    <w:rsid w:val="00702FB5"/>
    <w:rsid w:val="00734229"/>
    <w:rsid w:val="0073706B"/>
    <w:rsid w:val="00741AD8"/>
    <w:rsid w:val="007474D1"/>
    <w:rsid w:val="00767078"/>
    <w:rsid w:val="00772319"/>
    <w:rsid w:val="00775A42"/>
    <w:rsid w:val="0077723F"/>
    <w:rsid w:val="00777241"/>
    <w:rsid w:val="00787827"/>
    <w:rsid w:val="00795F14"/>
    <w:rsid w:val="007A3104"/>
    <w:rsid w:val="007B04AA"/>
    <w:rsid w:val="007B2AA0"/>
    <w:rsid w:val="007C1BD9"/>
    <w:rsid w:val="007C385F"/>
    <w:rsid w:val="007F0996"/>
    <w:rsid w:val="0080513D"/>
    <w:rsid w:val="00805EBC"/>
    <w:rsid w:val="00805F50"/>
    <w:rsid w:val="00806C5A"/>
    <w:rsid w:val="00811505"/>
    <w:rsid w:val="00820455"/>
    <w:rsid w:val="0083484E"/>
    <w:rsid w:val="00834C0A"/>
    <w:rsid w:val="00853CD0"/>
    <w:rsid w:val="00853E6B"/>
    <w:rsid w:val="008550F7"/>
    <w:rsid w:val="00867E15"/>
    <w:rsid w:val="00870B4C"/>
    <w:rsid w:val="008726F0"/>
    <w:rsid w:val="00873609"/>
    <w:rsid w:val="00882AC8"/>
    <w:rsid w:val="0088643A"/>
    <w:rsid w:val="00896C4F"/>
    <w:rsid w:val="00897076"/>
    <w:rsid w:val="008A257D"/>
    <w:rsid w:val="008D08F6"/>
    <w:rsid w:val="008D2EED"/>
    <w:rsid w:val="008D36D0"/>
    <w:rsid w:val="008E7BCE"/>
    <w:rsid w:val="008F1FEB"/>
    <w:rsid w:val="00901AD9"/>
    <w:rsid w:val="009052D5"/>
    <w:rsid w:val="009055B5"/>
    <w:rsid w:val="00916908"/>
    <w:rsid w:val="009222F2"/>
    <w:rsid w:val="00940AF7"/>
    <w:rsid w:val="009532F4"/>
    <w:rsid w:val="00966DF4"/>
    <w:rsid w:val="00975AD3"/>
    <w:rsid w:val="0099427B"/>
    <w:rsid w:val="009943FF"/>
    <w:rsid w:val="00996355"/>
    <w:rsid w:val="009963EF"/>
    <w:rsid w:val="009A2A75"/>
    <w:rsid w:val="009A38C2"/>
    <w:rsid w:val="009A77F7"/>
    <w:rsid w:val="009B441E"/>
    <w:rsid w:val="009B5EC2"/>
    <w:rsid w:val="009D6079"/>
    <w:rsid w:val="009E4DEE"/>
    <w:rsid w:val="009E583D"/>
    <w:rsid w:val="009E6D9B"/>
    <w:rsid w:val="00A01C74"/>
    <w:rsid w:val="00A03E55"/>
    <w:rsid w:val="00A2203E"/>
    <w:rsid w:val="00A25EAD"/>
    <w:rsid w:val="00A505E7"/>
    <w:rsid w:val="00A60951"/>
    <w:rsid w:val="00A65211"/>
    <w:rsid w:val="00A6705D"/>
    <w:rsid w:val="00A67317"/>
    <w:rsid w:val="00A76506"/>
    <w:rsid w:val="00A83B17"/>
    <w:rsid w:val="00A85676"/>
    <w:rsid w:val="00A9304F"/>
    <w:rsid w:val="00AA0236"/>
    <w:rsid w:val="00AA501D"/>
    <w:rsid w:val="00AC3594"/>
    <w:rsid w:val="00AD0BCD"/>
    <w:rsid w:val="00B026A7"/>
    <w:rsid w:val="00B13CC3"/>
    <w:rsid w:val="00B16DCD"/>
    <w:rsid w:val="00B2384B"/>
    <w:rsid w:val="00B250A9"/>
    <w:rsid w:val="00B26BC6"/>
    <w:rsid w:val="00B27047"/>
    <w:rsid w:val="00B29088"/>
    <w:rsid w:val="00B355D4"/>
    <w:rsid w:val="00B4366C"/>
    <w:rsid w:val="00B45D1A"/>
    <w:rsid w:val="00B54BCE"/>
    <w:rsid w:val="00B570EA"/>
    <w:rsid w:val="00B73DC2"/>
    <w:rsid w:val="00B76839"/>
    <w:rsid w:val="00B76B86"/>
    <w:rsid w:val="00B836DF"/>
    <w:rsid w:val="00BD081C"/>
    <w:rsid w:val="00BD4992"/>
    <w:rsid w:val="00BD613A"/>
    <w:rsid w:val="00C033A0"/>
    <w:rsid w:val="00C11B9C"/>
    <w:rsid w:val="00C173CB"/>
    <w:rsid w:val="00C34122"/>
    <w:rsid w:val="00C413EF"/>
    <w:rsid w:val="00C4342F"/>
    <w:rsid w:val="00C44E0C"/>
    <w:rsid w:val="00C670F9"/>
    <w:rsid w:val="00C720EC"/>
    <w:rsid w:val="00C73FA6"/>
    <w:rsid w:val="00C9302C"/>
    <w:rsid w:val="00CA431D"/>
    <w:rsid w:val="00CA561A"/>
    <w:rsid w:val="00CA7190"/>
    <w:rsid w:val="00CD3E5C"/>
    <w:rsid w:val="00CD5699"/>
    <w:rsid w:val="00D061E2"/>
    <w:rsid w:val="00D11A6E"/>
    <w:rsid w:val="00D12F89"/>
    <w:rsid w:val="00D22A51"/>
    <w:rsid w:val="00D244D9"/>
    <w:rsid w:val="00D25CF2"/>
    <w:rsid w:val="00D341AD"/>
    <w:rsid w:val="00D4590A"/>
    <w:rsid w:val="00D47AE2"/>
    <w:rsid w:val="00D5212C"/>
    <w:rsid w:val="00D540C3"/>
    <w:rsid w:val="00D56396"/>
    <w:rsid w:val="00D60E61"/>
    <w:rsid w:val="00D75542"/>
    <w:rsid w:val="00D766DE"/>
    <w:rsid w:val="00D82A65"/>
    <w:rsid w:val="00D85038"/>
    <w:rsid w:val="00DA42CF"/>
    <w:rsid w:val="00DC30CB"/>
    <w:rsid w:val="00DC3CFA"/>
    <w:rsid w:val="00DD33D1"/>
    <w:rsid w:val="00DD6EF2"/>
    <w:rsid w:val="00DE0947"/>
    <w:rsid w:val="00DE4605"/>
    <w:rsid w:val="00DF068D"/>
    <w:rsid w:val="00DF16B1"/>
    <w:rsid w:val="00E11129"/>
    <w:rsid w:val="00E113F2"/>
    <w:rsid w:val="00E24627"/>
    <w:rsid w:val="00E26D52"/>
    <w:rsid w:val="00E27674"/>
    <w:rsid w:val="00E27BA1"/>
    <w:rsid w:val="00E350E8"/>
    <w:rsid w:val="00E409EC"/>
    <w:rsid w:val="00E4296A"/>
    <w:rsid w:val="00E46AD6"/>
    <w:rsid w:val="00E54547"/>
    <w:rsid w:val="00E551C6"/>
    <w:rsid w:val="00E56969"/>
    <w:rsid w:val="00E65184"/>
    <w:rsid w:val="00E653B7"/>
    <w:rsid w:val="00E65CB0"/>
    <w:rsid w:val="00E706F0"/>
    <w:rsid w:val="00E74ABA"/>
    <w:rsid w:val="00E9328B"/>
    <w:rsid w:val="00ED516F"/>
    <w:rsid w:val="00EF5C69"/>
    <w:rsid w:val="00F04F05"/>
    <w:rsid w:val="00F057B6"/>
    <w:rsid w:val="00F2163E"/>
    <w:rsid w:val="00F2340B"/>
    <w:rsid w:val="00F3614A"/>
    <w:rsid w:val="00F44441"/>
    <w:rsid w:val="00F50C71"/>
    <w:rsid w:val="00F5597A"/>
    <w:rsid w:val="00F612D4"/>
    <w:rsid w:val="00F7314D"/>
    <w:rsid w:val="00F75AF9"/>
    <w:rsid w:val="00F81E88"/>
    <w:rsid w:val="00F87BD2"/>
    <w:rsid w:val="00F91E50"/>
    <w:rsid w:val="00F9535D"/>
    <w:rsid w:val="00FA30A2"/>
    <w:rsid w:val="00FA5912"/>
    <w:rsid w:val="00FB0654"/>
    <w:rsid w:val="00FB3311"/>
    <w:rsid w:val="00FB64F7"/>
    <w:rsid w:val="00FC1CE4"/>
    <w:rsid w:val="00FC70E6"/>
    <w:rsid w:val="00FD4782"/>
    <w:rsid w:val="00FD69E9"/>
    <w:rsid w:val="00FE15DC"/>
    <w:rsid w:val="00FF5311"/>
    <w:rsid w:val="010C0483"/>
    <w:rsid w:val="0120990E"/>
    <w:rsid w:val="025EB199"/>
    <w:rsid w:val="02808941"/>
    <w:rsid w:val="039D97AA"/>
    <w:rsid w:val="03DBEB27"/>
    <w:rsid w:val="04A1A5F4"/>
    <w:rsid w:val="04BFE90F"/>
    <w:rsid w:val="04F2EB78"/>
    <w:rsid w:val="0542DFD1"/>
    <w:rsid w:val="0644FD5B"/>
    <w:rsid w:val="0680E85F"/>
    <w:rsid w:val="068973B9"/>
    <w:rsid w:val="06C3458D"/>
    <w:rsid w:val="0823909D"/>
    <w:rsid w:val="0871457F"/>
    <w:rsid w:val="08EFB445"/>
    <w:rsid w:val="08F6CC3B"/>
    <w:rsid w:val="094F2682"/>
    <w:rsid w:val="094F8E97"/>
    <w:rsid w:val="095FA42C"/>
    <w:rsid w:val="0A8566BC"/>
    <w:rsid w:val="0A9450B0"/>
    <w:rsid w:val="0B597648"/>
    <w:rsid w:val="0B990D60"/>
    <w:rsid w:val="0C219EBB"/>
    <w:rsid w:val="0C9002C8"/>
    <w:rsid w:val="0D2917DA"/>
    <w:rsid w:val="0DA4424C"/>
    <w:rsid w:val="0E3C54E5"/>
    <w:rsid w:val="0E4A6D0B"/>
    <w:rsid w:val="0F360F16"/>
    <w:rsid w:val="0FEADFD2"/>
    <w:rsid w:val="10830288"/>
    <w:rsid w:val="109705D2"/>
    <w:rsid w:val="10F4767E"/>
    <w:rsid w:val="112D33A5"/>
    <w:rsid w:val="11CAA01F"/>
    <w:rsid w:val="12350EC1"/>
    <w:rsid w:val="12742C86"/>
    <w:rsid w:val="134BBFB4"/>
    <w:rsid w:val="137E9A3B"/>
    <w:rsid w:val="143E4309"/>
    <w:rsid w:val="148196EF"/>
    <w:rsid w:val="1563B1BF"/>
    <w:rsid w:val="15CB6147"/>
    <w:rsid w:val="15EA6B88"/>
    <w:rsid w:val="1697795D"/>
    <w:rsid w:val="176FEE59"/>
    <w:rsid w:val="17728445"/>
    <w:rsid w:val="17B48CBE"/>
    <w:rsid w:val="17FE43C8"/>
    <w:rsid w:val="1802CD74"/>
    <w:rsid w:val="183A762D"/>
    <w:rsid w:val="18B6D608"/>
    <w:rsid w:val="18CBAFA5"/>
    <w:rsid w:val="197BAE57"/>
    <w:rsid w:val="198D311C"/>
    <w:rsid w:val="198DC8B7"/>
    <w:rsid w:val="19CC9222"/>
    <w:rsid w:val="19D5F56F"/>
    <w:rsid w:val="1A1611B7"/>
    <w:rsid w:val="1B05DA2D"/>
    <w:rsid w:val="1B541990"/>
    <w:rsid w:val="1B57069C"/>
    <w:rsid w:val="1B773DFB"/>
    <w:rsid w:val="1BE5E976"/>
    <w:rsid w:val="1BF2E5FB"/>
    <w:rsid w:val="1C15803D"/>
    <w:rsid w:val="1C4990B4"/>
    <w:rsid w:val="1C76CF6E"/>
    <w:rsid w:val="1C8E5405"/>
    <w:rsid w:val="1D273C84"/>
    <w:rsid w:val="1D4A3806"/>
    <w:rsid w:val="1D594C35"/>
    <w:rsid w:val="1F0E51AF"/>
    <w:rsid w:val="1F371CE2"/>
    <w:rsid w:val="1F5760EA"/>
    <w:rsid w:val="1F6C71BF"/>
    <w:rsid w:val="1FB1BE04"/>
    <w:rsid w:val="200288F9"/>
    <w:rsid w:val="203F4617"/>
    <w:rsid w:val="20E90BA2"/>
    <w:rsid w:val="225E8F90"/>
    <w:rsid w:val="228AF366"/>
    <w:rsid w:val="22969938"/>
    <w:rsid w:val="234C3E3C"/>
    <w:rsid w:val="236674F1"/>
    <w:rsid w:val="23F17B62"/>
    <w:rsid w:val="246ADE23"/>
    <w:rsid w:val="24AE950C"/>
    <w:rsid w:val="24BD8047"/>
    <w:rsid w:val="2521888F"/>
    <w:rsid w:val="2533CDC8"/>
    <w:rsid w:val="2563A070"/>
    <w:rsid w:val="25740794"/>
    <w:rsid w:val="2591F474"/>
    <w:rsid w:val="266A29A6"/>
    <w:rsid w:val="2681B52D"/>
    <w:rsid w:val="2697FC3F"/>
    <w:rsid w:val="27154078"/>
    <w:rsid w:val="2731910B"/>
    <w:rsid w:val="2916A1A2"/>
    <w:rsid w:val="2954DEDE"/>
    <w:rsid w:val="29BC0CB0"/>
    <w:rsid w:val="2B47192A"/>
    <w:rsid w:val="2B5D7040"/>
    <w:rsid w:val="2B60284D"/>
    <w:rsid w:val="2B79161A"/>
    <w:rsid w:val="2B7E52AF"/>
    <w:rsid w:val="2BB12105"/>
    <w:rsid w:val="2CC9CD82"/>
    <w:rsid w:val="2CF22727"/>
    <w:rsid w:val="2D2A96F4"/>
    <w:rsid w:val="2E2EC327"/>
    <w:rsid w:val="2E5D97D0"/>
    <w:rsid w:val="2E8D99CD"/>
    <w:rsid w:val="2F06F4D2"/>
    <w:rsid w:val="30273929"/>
    <w:rsid w:val="303F5D3A"/>
    <w:rsid w:val="30735C00"/>
    <w:rsid w:val="307D8C76"/>
    <w:rsid w:val="30DCF90A"/>
    <w:rsid w:val="3101B4F6"/>
    <w:rsid w:val="31A02D78"/>
    <w:rsid w:val="31C2CB08"/>
    <w:rsid w:val="31CAF935"/>
    <w:rsid w:val="31FEBC6C"/>
    <w:rsid w:val="3224A7C8"/>
    <w:rsid w:val="325EF07A"/>
    <w:rsid w:val="32723006"/>
    <w:rsid w:val="3273A277"/>
    <w:rsid w:val="332F9E02"/>
    <w:rsid w:val="3380DE79"/>
    <w:rsid w:val="33AF30DA"/>
    <w:rsid w:val="33D971DD"/>
    <w:rsid w:val="343E4DC4"/>
    <w:rsid w:val="34995B22"/>
    <w:rsid w:val="34C101BC"/>
    <w:rsid w:val="34CC5927"/>
    <w:rsid w:val="3546B859"/>
    <w:rsid w:val="3581E573"/>
    <w:rsid w:val="362D926A"/>
    <w:rsid w:val="36A1E508"/>
    <w:rsid w:val="36F3765F"/>
    <w:rsid w:val="3718437D"/>
    <w:rsid w:val="37279C6D"/>
    <w:rsid w:val="3739FB09"/>
    <w:rsid w:val="374710DF"/>
    <w:rsid w:val="374EE3CF"/>
    <w:rsid w:val="37CCE892"/>
    <w:rsid w:val="38427ECC"/>
    <w:rsid w:val="388C7181"/>
    <w:rsid w:val="3A7C1086"/>
    <w:rsid w:val="3A90BA92"/>
    <w:rsid w:val="3AA93220"/>
    <w:rsid w:val="3B4A14FE"/>
    <w:rsid w:val="3B587ED9"/>
    <w:rsid w:val="3B6FA9A5"/>
    <w:rsid w:val="3BEDCF87"/>
    <w:rsid w:val="3CE8D230"/>
    <w:rsid w:val="3DA70195"/>
    <w:rsid w:val="3F4613AF"/>
    <w:rsid w:val="3F6F0C7B"/>
    <w:rsid w:val="3FA06CE5"/>
    <w:rsid w:val="408E888F"/>
    <w:rsid w:val="40ACCAAC"/>
    <w:rsid w:val="40EFB706"/>
    <w:rsid w:val="415CC2DE"/>
    <w:rsid w:val="4160B60B"/>
    <w:rsid w:val="4195BEC2"/>
    <w:rsid w:val="41DB01C2"/>
    <w:rsid w:val="4256C8D3"/>
    <w:rsid w:val="42CDD967"/>
    <w:rsid w:val="42CDE0A7"/>
    <w:rsid w:val="4302E30A"/>
    <w:rsid w:val="431D49C8"/>
    <w:rsid w:val="439E6598"/>
    <w:rsid w:val="43CFE4EB"/>
    <w:rsid w:val="44425AB6"/>
    <w:rsid w:val="44F23D85"/>
    <w:rsid w:val="455C427F"/>
    <w:rsid w:val="4569C409"/>
    <w:rsid w:val="45758ED2"/>
    <w:rsid w:val="45903615"/>
    <w:rsid w:val="45F2B1CB"/>
    <w:rsid w:val="461D6730"/>
    <w:rsid w:val="477EC8C5"/>
    <w:rsid w:val="47A0C724"/>
    <w:rsid w:val="47AA91D1"/>
    <w:rsid w:val="4807A6F5"/>
    <w:rsid w:val="482DA6AE"/>
    <w:rsid w:val="48460884"/>
    <w:rsid w:val="48E68533"/>
    <w:rsid w:val="49294EC6"/>
    <w:rsid w:val="497B2BD0"/>
    <w:rsid w:val="497C1804"/>
    <w:rsid w:val="49F24406"/>
    <w:rsid w:val="49F40712"/>
    <w:rsid w:val="4A0C9E30"/>
    <w:rsid w:val="4A89982D"/>
    <w:rsid w:val="4B3132DC"/>
    <w:rsid w:val="4B46AF4B"/>
    <w:rsid w:val="4B81C135"/>
    <w:rsid w:val="4C3137FA"/>
    <w:rsid w:val="4C890386"/>
    <w:rsid w:val="4CF792D6"/>
    <w:rsid w:val="4CFD5631"/>
    <w:rsid w:val="4D4AA5F2"/>
    <w:rsid w:val="4D9719C5"/>
    <w:rsid w:val="4F8C7AFE"/>
    <w:rsid w:val="4FB55967"/>
    <w:rsid w:val="4FDEE64E"/>
    <w:rsid w:val="5129BC91"/>
    <w:rsid w:val="515E3A48"/>
    <w:rsid w:val="535EBA84"/>
    <w:rsid w:val="5367C212"/>
    <w:rsid w:val="53EE2703"/>
    <w:rsid w:val="53F5F1CF"/>
    <w:rsid w:val="54296C07"/>
    <w:rsid w:val="545847FB"/>
    <w:rsid w:val="54B9698F"/>
    <w:rsid w:val="54BAB6AB"/>
    <w:rsid w:val="5528B4B0"/>
    <w:rsid w:val="5569E64B"/>
    <w:rsid w:val="55F950D9"/>
    <w:rsid w:val="564F25F0"/>
    <w:rsid w:val="567945B2"/>
    <w:rsid w:val="56AEBD4B"/>
    <w:rsid w:val="56C5BD0B"/>
    <w:rsid w:val="56D1A7E9"/>
    <w:rsid w:val="58155C93"/>
    <w:rsid w:val="588DA27D"/>
    <w:rsid w:val="58B7BFB5"/>
    <w:rsid w:val="5B1C2C06"/>
    <w:rsid w:val="5B1EE2C7"/>
    <w:rsid w:val="5B696478"/>
    <w:rsid w:val="5B6FC768"/>
    <w:rsid w:val="5BD95F0E"/>
    <w:rsid w:val="5C0A7B43"/>
    <w:rsid w:val="5D1F4D97"/>
    <w:rsid w:val="5D5DA097"/>
    <w:rsid w:val="5DB4740F"/>
    <w:rsid w:val="5DDF0550"/>
    <w:rsid w:val="5DDF5E19"/>
    <w:rsid w:val="5E549B1D"/>
    <w:rsid w:val="5E832446"/>
    <w:rsid w:val="5E9AA4ED"/>
    <w:rsid w:val="5EA47596"/>
    <w:rsid w:val="5EBDFA5E"/>
    <w:rsid w:val="5F4F2C53"/>
    <w:rsid w:val="5F51914B"/>
    <w:rsid w:val="5F84557B"/>
    <w:rsid w:val="60175A98"/>
    <w:rsid w:val="60224123"/>
    <w:rsid w:val="60C23337"/>
    <w:rsid w:val="60CE6A57"/>
    <w:rsid w:val="60F911BF"/>
    <w:rsid w:val="612B2EFC"/>
    <w:rsid w:val="61605176"/>
    <w:rsid w:val="61AA67C6"/>
    <w:rsid w:val="62477C13"/>
    <w:rsid w:val="635114F3"/>
    <w:rsid w:val="636978D2"/>
    <w:rsid w:val="639A2D5F"/>
    <w:rsid w:val="6433E582"/>
    <w:rsid w:val="64A739BE"/>
    <w:rsid w:val="64B0647C"/>
    <w:rsid w:val="64D8053F"/>
    <w:rsid w:val="64E4D0C5"/>
    <w:rsid w:val="655C87A9"/>
    <w:rsid w:val="6570F878"/>
    <w:rsid w:val="6590514E"/>
    <w:rsid w:val="65A05B74"/>
    <w:rsid w:val="66475C82"/>
    <w:rsid w:val="664BA666"/>
    <w:rsid w:val="667ED030"/>
    <w:rsid w:val="668E49AC"/>
    <w:rsid w:val="66A24FAD"/>
    <w:rsid w:val="68962DE5"/>
    <w:rsid w:val="68C65746"/>
    <w:rsid w:val="69047FC4"/>
    <w:rsid w:val="69D5EFCA"/>
    <w:rsid w:val="6A12C571"/>
    <w:rsid w:val="6A231991"/>
    <w:rsid w:val="6A3F7371"/>
    <w:rsid w:val="6A7D145E"/>
    <w:rsid w:val="6AC948A8"/>
    <w:rsid w:val="6B58FC30"/>
    <w:rsid w:val="6C537EF8"/>
    <w:rsid w:val="6C6E9006"/>
    <w:rsid w:val="6C9301D0"/>
    <w:rsid w:val="6CAE9645"/>
    <w:rsid w:val="6CEFBE34"/>
    <w:rsid w:val="6DAAB289"/>
    <w:rsid w:val="6DCA2936"/>
    <w:rsid w:val="6DD801FE"/>
    <w:rsid w:val="6DDD4C21"/>
    <w:rsid w:val="6E0D6839"/>
    <w:rsid w:val="6E17A362"/>
    <w:rsid w:val="6FB66266"/>
    <w:rsid w:val="6FDDEC50"/>
    <w:rsid w:val="701B7B7A"/>
    <w:rsid w:val="702CA02B"/>
    <w:rsid w:val="707C0604"/>
    <w:rsid w:val="707D3364"/>
    <w:rsid w:val="709DCDFA"/>
    <w:rsid w:val="71261D22"/>
    <w:rsid w:val="71432856"/>
    <w:rsid w:val="71FC0CC4"/>
    <w:rsid w:val="72096E50"/>
    <w:rsid w:val="7213D01F"/>
    <w:rsid w:val="7224A149"/>
    <w:rsid w:val="72F3FADC"/>
    <w:rsid w:val="73330658"/>
    <w:rsid w:val="7338038F"/>
    <w:rsid w:val="735D22EF"/>
    <w:rsid w:val="739B78C1"/>
    <w:rsid w:val="74ADA243"/>
    <w:rsid w:val="752DA6B7"/>
    <w:rsid w:val="76450E9B"/>
    <w:rsid w:val="76486231"/>
    <w:rsid w:val="76571D3E"/>
    <w:rsid w:val="7667C000"/>
    <w:rsid w:val="7678D2A3"/>
    <w:rsid w:val="76CBEF3A"/>
    <w:rsid w:val="77012316"/>
    <w:rsid w:val="77566FEE"/>
    <w:rsid w:val="7810C04C"/>
    <w:rsid w:val="78699A35"/>
    <w:rsid w:val="78B86667"/>
    <w:rsid w:val="79A19F3E"/>
    <w:rsid w:val="79FF50FE"/>
    <w:rsid w:val="7B674316"/>
    <w:rsid w:val="7B8ACE3A"/>
    <w:rsid w:val="7BC504AB"/>
    <w:rsid w:val="7BC98CCD"/>
    <w:rsid w:val="7C112A32"/>
    <w:rsid w:val="7C82F7D2"/>
    <w:rsid w:val="7C973BBD"/>
    <w:rsid w:val="7CDAB8A4"/>
    <w:rsid w:val="7CDF62DE"/>
    <w:rsid w:val="7D83A496"/>
    <w:rsid w:val="7E75D8DD"/>
    <w:rsid w:val="7EF4459C"/>
    <w:rsid w:val="7F5D192F"/>
    <w:rsid w:val="7FCA4D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35F3"/>
  <w15:docId w15:val="{42183B54-7559-43D6-A52D-28B1D36D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497B2BD0"/>
    <w:pPr>
      <w:spacing w:after="120"/>
      <w:jc w:val="both"/>
    </w:pPr>
    <w:rPr>
      <w:rFonts w:cs="Times New Roman"/>
    </w:rPr>
  </w:style>
  <w:style w:type="paragraph" w:styleId="Nagwek1">
    <w:name w:val="heading 1"/>
    <w:basedOn w:val="Normalny"/>
    <w:next w:val="Normalny"/>
    <w:link w:val="Nagwek1Znak"/>
    <w:uiPriority w:val="9"/>
    <w:qFormat/>
    <w:rsid w:val="497B2BD0"/>
    <w:pPr>
      <w:keepNext/>
      <w:keepLines/>
      <w:spacing w:before="480" w:after="0"/>
      <w:jc w:val="left"/>
      <w:outlineLvl w:val="0"/>
    </w:pPr>
    <w:rPr>
      <w:rFonts w:eastAsiaTheme="majorEastAsia" w:cstheme="majorBidi"/>
      <w:color w:val="000000" w:themeColor="text1"/>
      <w:lang w:val="en-US"/>
    </w:rPr>
  </w:style>
  <w:style w:type="paragraph" w:styleId="Nagwek2">
    <w:name w:val="heading 2"/>
    <w:basedOn w:val="Normalny"/>
    <w:next w:val="Normalny"/>
    <w:link w:val="Nagwek2Znak"/>
    <w:uiPriority w:val="9"/>
    <w:unhideWhenUsed/>
    <w:qFormat/>
    <w:rsid w:val="497B2BD0"/>
    <w:pPr>
      <w:keepNext/>
      <w:keepLines/>
      <w:spacing w:before="120"/>
      <w:jc w:val="left"/>
      <w:outlineLvl w:val="1"/>
    </w:pPr>
    <w:rPr>
      <w:rFonts w:eastAsiaTheme="majorEastAsia" w:cstheme="minorBidi"/>
      <w:color w:val="000000" w:themeColor="text1"/>
      <w:lang w:val="en-I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497B2BD0"/>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497B2BD0"/>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1Znak">
    <w:name w:val="Nagłówek 1 Znak"/>
    <w:basedOn w:val="Domylnaczcionkaakapitu"/>
    <w:link w:val="Nagwek1"/>
    <w:uiPriority w:val="9"/>
    <w:rsid w:val="00E7526A"/>
    <w:rPr>
      <w:rFonts w:eastAsiaTheme="majorEastAsia" w:cstheme="majorBidi"/>
      <w:color w:val="000000" w:themeColor="text1"/>
      <w:lang w:val="en-US"/>
    </w:rPr>
  </w:style>
  <w:style w:type="character" w:customStyle="1" w:styleId="Nagwek2Znak">
    <w:name w:val="Nagłówek 2 Znak"/>
    <w:basedOn w:val="Domylnaczcionkaakapitu"/>
    <w:link w:val="Nagwek2"/>
    <w:uiPriority w:val="9"/>
    <w:rsid w:val="00E7526A"/>
    <w:rPr>
      <w:rFonts w:eastAsiaTheme="majorEastAsia" w:cstheme="minorHAnsi"/>
      <w:color w:val="000000" w:themeColor="text1"/>
      <w:lang w:val="en-IE"/>
    </w:rPr>
  </w:style>
  <w:style w:type="paragraph" w:styleId="Akapitzlist">
    <w:name w:val="List Paragraph"/>
    <w:basedOn w:val="Normalny"/>
    <w:link w:val="AkapitzlistZnak"/>
    <w:uiPriority w:val="34"/>
    <w:qFormat/>
    <w:rsid w:val="497B2BD0"/>
    <w:pPr>
      <w:numPr>
        <w:numId w:val="1"/>
      </w:numPr>
      <w:jc w:val="left"/>
    </w:pPr>
    <w:rPr>
      <w:lang w:val="en-US"/>
    </w:rPr>
  </w:style>
  <w:style w:type="character" w:customStyle="1" w:styleId="AkapitzlistZnak">
    <w:name w:val="Akapit z listą Znak"/>
    <w:basedOn w:val="Domylnaczcionkaakapitu"/>
    <w:link w:val="Akapitzlist"/>
    <w:uiPriority w:val="34"/>
    <w:qFormat/>
    <w:rsid w:val="00E7526A"/>
    <w:rPr>
      <w:rFonts w:cs="Times New Roman"/>
      <w:lang w:val="en-US"/>
    </w:rPr>
  </w:style>
  <w:style w:type="table" w:customStyle="1" w:styleId="Tabela-Siatka2">
    <w:name w:val="Tabela - Siatka2"/>
    <w:basedOn w:val="Standardowy"/>
    <w:next w:val="Tabela-Siatka"/>
    <w:uiPriority w:val="39"/>
    <w:rsid w:val="00050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ioz">
    <w:name w:val="csioz"/>
    <w:link w:val="csiozZnak"/>
    <w:qFormat/>
    <w:rsid w:val="000509BE"/>
    <w:pPr>
      <w:shd w:val="clear" w:color="auto" w:fill="D9D9D9" w:themeFill="background1" w:themeFillShade="D9"/>
      <w:spacing w:after="0" w:line="276" w:lineRule="auto"/>
    </w:pPr>
    <w:rPr>
      <w:rFonts w:eastAsia="Times New Roman" w:cstheme="minorHAnsi"/>
      <w:b/>
      <w:bCs/>
      <w:kern w:val="32"/>
      <w:lang w:eastAsia="pl-PL"/>
    </w:rPr>
  </w:style>
  <w:style w:type="character" w:customStyle="1" w:styleId="csiozZnak">
    <w:name w:val="csioz Znak"/>
    <w:basedOn w:val="Domylnaczcionkaakapitu"/>
    <w:link w:val="csioz"/>
    <w:rsid w:val="000509BE"/>
    <w:rPr>
      <w:rFonts w:eastAsia="Times New Roman" w:cstheme="minorHAnsi"/>
      <w:b/>
      <w:bCs/>
      <w:kern w:val="32"/>
      <w:shd w:val="clear" w:color="auto" w:fill="D9D9D9" w:themeFill="background1" w:themeFillShade="D9"/>
      <w:lang w:eastAsia="pl-PL"/>
    </w:rPr>
  </w:style>
  <w:style w:type="table" w:styleId="Tabela-Siatka">
    <w:name w:val="Table Grid"/>
    <w:basedOn w:val="Standardowy"/>
    <w:uiPriority w:val="39"/>
    <w:rsid w:val="00050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9317A"/>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8D36D0"/>
    <w:rPr>
      <w:sz w:val="16"/>
      <w:szCs w:val="16"/>
    </w:rPr>
  </w:style>
  <w:style w:type="paragraph" w:styleId="Tekstkomentarza">
    <w:name w:val="annotation text"/>
    <w:basedOn w:val="Normalny"/>
    <w:link w:val="TekstkomentarzaZnak"/>
    <w:uiPriority w:val="99"/>
    <w:unhideWhenUsed/>
    <w:rsid w:val="497B2BD0"/>
    <w:rPr>
      <w:sz w:val="20"/>
      <w:szCs w:val="20"/>
    </w:rPr>
  </w:style>
  <w:style w:type="character" w:customStyle="1" w:styleId="TekstkomentarzaZnak">
    <w:name w:val="Tekst komentarza Znak"/>
    <w:basedOn w:val="Domylnaczcionkaakapitu"/>
    <w:link w:val="Tekstkomentarza"/>
    <w:uiPriority w:val="99"/>
    <w:rsid w:val="008D36D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D36D0"/>
    <w:rPr>
      <w:b/>
      <w:bCs/>
    </w:rPr>
  </w:style>
  <w:style w:type="character" w:customStyle="1" w:styleId="TematkomentarzaZnak">
    <w:name w:val="Temat komentarza Znak"/>
    <w:basedOn w:val="TekstkomentarzaZnak"/>
    <w:link w:val="Tematkomentarza"/>
    <w:uiPriority w:val="99"/>
    <w:semiHidden/>
    <w:rsid w:val="008D36D0"/>
    <w:rPr>
      <w:rFonts w:ascii="Calibri" w:eastAsia="Calibri" w:hAnsi="Calibri" w:cs="Times New Roman"/>
      <w:b/>
      <w:bCs/>
      <w:sz w:val="20"/>
      <w:szCs w:val="20"/>
    </w:rPr>
  </w:style>
  <w:style w:type="character" w:styleId="Nierozpoznanawzmianka">
    <w:name w:val="Unresolved Mention"/>
    <w:basedOn w:val="Domylnaczcionkaakapitu"/>
    <w:uiPriority w:val="99"/>
    <w:rsid w:val="00366C2F"/>
    <w:rPr>
      <w:color w:val="605E5C"/>
      <w:shd w:val="clear" w:color="auto" w:fill="E1DFDD"/>
    </w:rPr>
  </w:style>
  <w:style w:type="character" w:styleId="UyteHipercze">
    <w:name w:val="FollowedHyperlink"/>
    <w:basedOn w:val="Domylnaczcionkaakapitu"/>
    <w:uiPriority w:val="99"/>
    <w:semiHidden/>
    <w:unhideWhenUsed/>
    <w:rsid w:val="00072D4D"/>
    <w:rPr>
      <w:color w:val="954F72" w:themeColor="followedHyperlink"/>
      <w:u w:val="single"/>
    </w:rPr>
  </w:style>
  <w:style w:type="character" w:customStyle="1" w:styleId="wacimagecontainer">
    <w:name w:val="wacimagecontainer"/>
    <w:basedOn w:val="Domylnaczcionkaakapitu"/>
    <w:rsid w:val="00C9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4279">
      <w:bodyDiv w:val="1"/>
      <w:marLeft w:val="0"/>
      <w:marRight w:val="0"/>
      <w:marTop w:val="0"/>
      <w:marBottom w:val="0"/>
      <w:divBdr>
        <w:top w:val="none" w:sz="0" w:space="0" w:color="auto"/>
        <w:left w:val="none" w:sz="0" w:space="0" w:color="auto"/>
        <w:bottom w:val="none" w:sz="0" w:space="0" w:color="auto"/>
        <w:right w:val="none" w:sz="0" w:space="0" w:color="auto"/>
      </w:divBdr>
    </w:div>
    <w:div w:id="1097751071">
      <w:bodyDiv w:val="1"/>
      <w:marLeft w:val="0"/>
      <w:marRight w:val="0"/>
      <w:marTop w:val="0"/>
      <w:marBottom w:val="0"/>
      <w:divBdr>
        <w:top w:val="none" w:sz="0" w:space="0" w:color="auto"/>
        <w:left w:val="none" w:sz="0" w:space="0" w:color="auto"/>
        <w:bottom w:val="none" w:sz="0" w:space="0" w:color="auto"/>
        <w:right w:val="none" w:sz="0" w:space="0" w:color="auto"/>
      </w:divBdr>
    </w:div>
    <w:div w:id="1777870739">
      <w:bodyDiv w:val="1"/>
      <w:marLeft w:val="0"/>
      <w:marRight w:val="0"/>
      <w:marTop w:val="0"/>
      <w:marBottom w:val="0"/>
      <w:divBdr>
        <w:top w:val="none" w:sz="0" w:space="0" w:color="auto"/>
        <w:left w:val="none" w:sz="0" w:space="0" w:color="auto"/>
        <w:bottom w:val="none" w:sz="0" w:space="0" w:color="auto"/>
        <w:right w:val="none" w:sz="0" w:space="0" w:color="auto"/>
      </w:divBdr>
    </w:div>
    <w:div w:id="187453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patibilityguide.broadcom.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istrator@cez.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ncf.io/certification/software-conform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atibilityguide.broadcom.com/search?program=server&amp;persona=live&amp;column=partnerName&amp;order=asc"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jpe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0FAC300902AB468E5F081DBCDDEA2B" ma:contentTypeVersion="16" ma:contentTypeDescription="Utwórz nowy dokument." ma:contentTypeScope="" ma:versionID="fd733867f3908d87b1a4676da135e563">
  <xsd:schema xmlns:xsd="http://www.w3.org/2001/XMLSchema" xmlns:xs="http://www.w3.org/2001/XMLSchema" xmlns:p="http://schemas.microsoft.com/office/2006/metadata/properties" xmlns:ns2="c5a5903f-40bc-43a4-bec4-8931856129fe" xmlns:ns3="2b4fec8c-6342-430f-9a53-83f3fffa3636" targetNamespace="http://schemas.microsoft.com/office/2006/metadata/properties" ma:root="true" ma:fieldsID="5617fb63b54bcd580130a6b53ad88f1e" ns2:_="" ns3:_="">
    <xsd:import namespace="c5a5903f-40bc-43a4-bec4-8931856129fe"/>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5903f-40bc-43a4-bec4-893185612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4fec8c-6342-430f-9a53-83f3fffa3636" xsi:nil="true"/>
    <lcf76f155ced4ddcb4097134ff3c332f xmlns="c5a5903f-40bc-43a4-bec4-8931856129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E4D1-D308-4152-91DA-B61940F18D6A}">
  <ds:schemaRefs>
    <ds:schemaRef ds:uri="http://schemas.microsoft.com/sharepoint/v3/contenttype/forms"/>
  </ds:schemaRefs>
</ds:datastoreItem>
</file>

<file path=customXml/itemProps2.xml><?xml version="1.0" encoding="utf-8"?>
<ds:datastoreItem xmlns:ds="http://schemas.openxmlformats.org/officeDocument/2006/customXml" ds:itemID="{6FD9FB63-B01E-4C55-9CED-76CF587D9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5903f-40bc-43a4-bec4-8931856129fe"/>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051FA-E625-4CD8-A4FC-AC363B22CF32}">
  <ds:schemaRefs>
    <ds:schemaRef ds:uri="http://schemas.microsoft.com/office/2006/metadata/properties"/>
    <ds:schemaRef ds:uri="http://schemas.microsoft.com/office/infopath/2007/PartnerControls"/>
    <ds:schemaRef ds:uri="2b4fec8c-6342-430f-9a53-83f3fffa3636"/>
    <ds:schemaRef ds:uri="c5a5903f-40bc-43a4-bec4-8931856129fe"/>
  </ds:schemaRefs>
</ds:datastoreItem>
</file>

<file path=customXml/itemProps4.xml><?xml version="1.0" encoding="utf-8"?>
<ds:datastoreItem xmlns:ds="http://schemas.openxmlformats.org/officeDocument/2006/customXml" ds:itemID="{CDB48ADD-8F0D-4D68-A23C-478C0A42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14593</Words>
  <Characters>87558</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Odpowiedzi na pytania ZPRZ.270.6.2025</vt:lpstr>
    </vt:vector>
  </TitlesOfParts>
  <Company/>
  <LinksUpToDate>false</LinksUpToDate>
  <CharactersWithSpaces>101948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na pytania ZPRZ.270.6.2025</dc:title>
  <dc:subject/>
  <dc:creator>CeZ</dc:creator>
  <cp:keywords/>
  <dc:description/>
  <cp:lastModifiedBy>Lerska-Linkiewicz Anna</cp:lastModifiedBy>
  <cp:revision>3</cp:revision>
  <cp:lastPrinted>2023-09-21T09:16:00Z</cp:lastPrinted>
  <dcterms:created xsi:type="dcterms:W3CDTF">2026-03-16T13:41:00Z</dcterms:created>
  <dcterms:modified xsi:type="dcterms:W3CDTF">2026-03-16T14:49:00Z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0x010100AC0FAC300902AB468E5F081DBCDDEA2B</vt:lpwstr>
  </property>
  <property fmtid="{D5CDD505-2E9C-101B-9397-08002B2CF9AE}" pid="3" name="MediaServiceImageTags">
    <vt:lpwstr/>
  </property>
</Properties>
</file>