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7B0" w14:textId="33484E8F" w:rsidR="002A56F4" w:rsidRPr="00355120" w:rsidRDefault="002A56F4" w:rsidP="00B35F24">
      <w:pPr>
        <w:spacing w:line="276" w:lineRule="auto"/>
        <w:rPr>
          <w:rFonts w:ascii="Lato" w:hAnsi="Lato" w:cstheme="majorHAnsi"/>
          <w:sz w:val="20"/>
          <w:szCs w:val="20"/>
        </w:rPr>
      </w:pPr>
      <w:r w:rsidRPr="00355120">
        <w:rPr>
          <w:rFonts w:ascii="Lato" w:hAnsi="Lato" w:cstheme="majorHAnsi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D45933" wp14:editId="5C6ECA13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485" w:rsidRPr="00355120">
        <w:rPr>
          <w:rFonts w:ascii="Lato" w:hAnsi="Lato" w:cstheme="majorHAnsi"/>
          <w:sz w:val="20"/>
          <w:szCs w:val="20"/>
        </w:rPr>
        <w:t>`</w:t>
      </w:r>
    </w:p>
    <w:p w14:paraId="1723CD20" w14:textId="77777777" w:rsidR="007A121A" w:rsidRPr="00355120" w:rsidRDefault="007A121A" w:rsidP="00B35F24">
      <w:pPr>
        <w:spacing w:after="0" w:line="276" w:lineRule="auto"/>
        <w:rPr>
          <w:rFonts w:ascii="Lato" w:hAnsi="Lato" w:cstheme="majorHAnsi"/>
          <w:sz w:val="20"/>
          <w:szCs w:val="20"/>
        </w:rPr>
      </w:pPr>
    </w:p>
    <w:p w14:paraId="053D094A" w14:textId="77777777" w:rsidR="007A121A" w:rsidRPr="00355120" w:rsidRDefault="007A121A" w:rsidP="00B35F24">
      <w:pPr>
        <w:autoSpaceDE w:val="0"/>
        <w:autoSpaceDN w:val="0"/>
        <w:adjustRightInd w:val="0"/>
        <w:spacing w:after="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D0C7F15" w14:textId="77777777" w:rsidR="001F7056" w:rsidRPr="00355120" w:rsidRDefault="001F7056" w:rsidP="00B35F24">
      <w:pPr>
        <w:spacing w:after="0"/>
        <w:ind w:left="426"/>
        <w:jc w:val="center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OPIS PRZEDMIOTU ZAMÓWIENIA</w:t>
      </w:r>
    </w:p>
    <w:p w14:paraId="65280231" w14:textId="77777777" w:rsidR="001F7056" w:rsidRPr="00355120" w:rsidRDefault="001F7056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5106370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9706AFD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1. Nazwa zamówienia</w:t>
      </w:r>
    </w:p>
    <w:p w14:paraId="66094680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18C552B7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Zakup monitorów dla Centrum e-Zdrowia z podziałem na części.</w:t>
      </w:r>
    </w:p>
    <w:p w14:paraId="4917B861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502F20C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 Przedmiot zamówienia</w:t>
      </w:r>
    </w:p>
    <w:p w14:paraId="67DCCE06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3D0C9FB6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Przedmiotem zamówienia jest dostawa fabrycznie nowych monitorów wraz z niezbędnym wyposażeniem oraz opieką gwarancyjną. Zamówienie zostało podzielone na dwie części:</w:t>
      </w:r>
    </w:p>
    <w:p w14:paraId="361D5E0E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857CB6E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2.1. Część I – Zakup monitorów 34” (panoramicznych)</w:t>
      </w:r>
    </w:p>
    <w:p w14:paraId="731D2F9B" w14:textId="77777777" w:rsidR="00B35F24" w:rsidRPr="00355120" w:rsidRDefault="00B35F24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4B240B49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gwarantowany: Dostawa 100 sztuk monitorów.</w:t>
      </w:r>
    </w:p>
    <w:p w14:paraId="40D1BE92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opcjonalny (Prawo Opcji): Dostawa do 100 sztuk monitorów.</w:t>
      </w:r>
    </w:p>
    <w:p w14:paraId="4988B2B7" w14:textId="77777777" w:rsidR="004D3942" w:rsidRPr="00355120" w:rsidRDefault="004D3942" w:rsidP="00B35F24">
      <w:pPr>
        <w:pStyle w:val="Akapitzlist"/>
        <w:numPr>
          <w:ilvl w:val="0"/>
          <w:numId w:val="29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Charakterystyka: Monitory o przekątnej min. 34” z lekko zakrzywionym ekranem, wbudowaną stacją dokującą oraz kamerą internetową (zgodnie z Tabelą nr 1).</w:t>
      </w:r>
    </w:p>
    <w:p w14:paraId="7419181D" w14:textId="77777777" w:rsidR="004D3942" w:rsidRPr="00355120" w:rsidRDefault="004D394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C3D01DB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2.2. Część II – Zakup monitorów 27” (graficznych/biurowych)</w:t>
      </w:r>
    </w:p>
    <w:p w14:paraId="706E315E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2578FEC" w14:textId="188AC178" w:rsidR="004D3942" w:rsidRPr="00355120" w:rsidRDefault="004D3942" w:rsidP="00B35F24">
      <w:pPr>
        <w:pStyle w:val="Akapitzlist"/>
        <w:numPr>
          <w:ilvl w:val="0"/>
          <w:numId w:val="30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Zakres gwarantowany: Dostawa 3 sztuk monitorów.</w:t>
      </w:r>
    </w:p>
    <w:p w14:paraId="4AA29A72" w14:textId="60C2E702" w:rsidR="004D3942" w:rsidRPr="00355120" w:rsidRDefault="004D3942" w:rsidP="00B35F24">
      <w:pPr>
        <w:pStyle w:val="Akapitzlist"/>
        <w:numPr>
          <w:ilvl w:val="0"/>
          <w:numId w:val="30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Charakterystyka: Monitory o przekątnej min. 27” (zgodnie z Tabelą nr 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2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).</w:t>
      </w:r>
    </w:p>
    <w:p w14:paraId="55799C7C" w14:textId="77777777" w:rsidR="004D3942" w:rsidRPr="00355120" w:rsidRDefault="004D394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E5D450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3. Warunki realizacji dostaw i wymagania jakościowe</w:t>
      </w:r>
    </w:p>
    <w:p w14:paraId="2B43E8E9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B2E7A94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eastAsia="pl-PL"/>
        </w:rPr>
        <w:t>3.1. Wymagania dotyczące stanu Przedmiotu Zamówienia Każde z dostarczanych urządzeń w ramach Części I oraz Części II zamówienia musi:</w:t>
      </w:r>
    </w:p>
    <w:p w14:paraId="712179D2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C4B6972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być fabrycznie nowe, kompletne, nieużywane i bez oznak używania, 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nierefabrykowane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i nieregenerowane, nienaprawiane oraz niepodlegające wcześniej jakiejkolwiek ponownej obróbce;</w:t>
      </w:r>
    </w:p>
    <w:p w14:paraId="310E1494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być wolne od jakichkolwiek wad fizycznych, prawnych, jak i ograniczeń uniemożliwiających jego prawidłowe użytkowanie;</w:t>
      </w:r>
    </w:p>
    <w:p w14:paraId="7F1546D7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być dopuszczone do obrotu gospodarczego na terytorium Rzeczypospolitej Polskiej;</w:t>
      </w:r>
    </w:p>
    <w:p w14:paraId="64A2D430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pochodzić z oryginalnego kanału dystrybucji Producenta na rynek polski;</w:t>
      </w:r>
    </w:p>
    <w:p w14:paraId="566B6E44" w14:textId="77777777" w:rsidR="00140022" w:rsidRPr="00355120" w:rsidRDefault="00140022" w:rsidP="00B35F24">
      <w:pPr>
        <w:pStyle w:val="Akapitzlist"/>
        <w:numPr>
          <w:ilvl w:val="0"/>
          <w:numId w:val="27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 dniu składania ofert posiadać status urządzenia wspieranego – nie może być przeznaczone przez Producenta do wycofania z produkcji lub sprzedaży (koniec cyklu życia produktu – End of Life).</w:t>
      </w:r>
    </w:p>
    <w:p w14:paraId="7272196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E45FB3C" w14:textId="1F316A58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 xml:space="preserve">3.2. </w:t>
      </w:r>
      <w:r w:rsidR="00B35F24"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Wymagania, dotyczące dostaw</w:t>
      </w:r>
    </w:p>
    <w:p w14:paraId="7DC3ECDB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0629960" w14:textId="0128908B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Sprzęt musi zostać dostarczony wraz z pełnym wyposażeniem niezbędnym do pracy (okablowanie, zasilacze, dedykowane komponenty wskazane w specyfikacji technicznej).</w:t>
      </w:r>
    </w:p>
    <w:p w14:paraId="1E03AEC7" w14:textId="2052F2B2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Wykonawca dostarczy przedmiot zamówienia do siedziby Zamawiającego na własny koszt i ryzyko (w tym ubezpieczenie na czas transportu i rozładunku).</w:t>
      </w:r>
    </w:p>
    <w:p w14:paraId="63AE867F" w14:textId="02057A87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Dostawa nastąpi w terminie do 14 dni od dnia złożenia zamówienia wykonawczego przez Zamawiającego.</w:t>
      </w:r>
    </w:p>
    <w:p w14:paraId="494D2E0B" w14:textId="32787CC9" w:rsidR="00140022" w:rsidRPr="00355120" w:rsidRDefault="00140022" w:rsidP="00B35F24">
      <w:pPr>
        <w:pStyle w:val="Akapitzlist"/>
        <w:numPr>
          <w:ilvl w:val="0"/>
          <w:numId w:val="28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Dostawy realizowane będą partiami w dni robocze (poniedziałek–piątek) w godzinach 08:00–15:00, z wyłączeniem dni ustawowo wolnych od pracy oraz dni wolnych u Zamawiającego.</w:t>
      </w:r>
    </w:p>
    <w:p w14:paraId="30EC2ECB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6FCBF091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3.3. Prawo opcji</w:t>
      </w:r>
    </w:p>
    <w:p w14:paraId="7DD8EE2C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63605CC" w14:textId="77777777" w:rsidR="00140022" w:rsidRPr="00355120" w:rsidRDefault="00140022" w:rsidP="00B35F24">
      <w:pPr>
        <w:pStyle w:val="Akapitzlist"/>
        <w:numPr>
          <w:ilvl w:val="0"/>
          <w:numId w:val="3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lastRenderedPageBreak/>
        <w:t>Skorzystanie z zamówienia opcjonalnego jest jednostronnym uprawnieniem Zamawiającego.</w:t>
      </w:r>
    </w:p>
    <w:p w14:paraId="6D194AC2" w14:textId="77777777" w:rsidR="00140022" w:rsidRPr="00355120" w:rsidRDefault="00140022" w:rsidP="00B35F24">
      <w:pPr>
        <w:pStyle w:val="Akapitzlist"/>
        <w:numPr>
          <w:ilvl w:val="0"/>
          <w:numId w:val="3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Zamówienie opcjonalne nie stanowi zobowiązania Zamawiającego do jego realizacji, a Wykonawcy nie przysługują żadne roszczenia (w tym odszkodowawcze) w przypadku nieskorzystania przez Zamawiającego z prawa opcji w całości lub w części.</w:t>
      </w:r>
    </w:p>
    <w:p w14:paraId="40E39C9E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39AED4A" w14:textId="7E55E949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4. Gwarancja i serwis</w:t>
      </w:r>
    </w:p>
    <w:p w14:paraId="3FB1C4F1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98E0800" w14:textId="7C1E6F9F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Wykonawca udziela gwarancji na okres 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36 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miesięcy (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3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lat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a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) dla części I (zgodnie z nadrzędnym zapisem warunków ogólnych) oraz</w:t>
      </w:r>
      <w:r w:rsidR="00140022"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36 miesięcy (3 lata)</w:t>
      </w: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zgodnie ze specyfikacją dla części II.</w:t>
      </w:r>
    </w:p>
    <w:p w14:paraId="48D5B2DA" w14:textId="4E7E051F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Naprawy realizowane przez producenta lub autoryzowanego partnera w formule on-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site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(w miejscu użytkowania) lub 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door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-to-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door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 xml:space="preserve"> na koszt Wykonawcy.</w:t>
      </w:r>
    </w:p>
    <w:p w14:paraId="493B40A4" w14:textId="0AB3F606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Usunięcie wady nastąpi w terminie nie dłuższym niż 14 dni od zgłoszenia.</w:t>
      </w:r>
    </w:p>
    <w:p w14:paraId="012BBF8E" w14:textId="48734684" w:rsidR="004D3942" w:rsidRPr="00355120" w:rsidRDefault="004D3942" w:rsidP="00B35F24">
      <w:pPr>
        <w:pStyle w:val="Akapitzlist"/>
        <w:numPr>
          <w:ilvl w:val="0"/>
          <w:numId w:val="24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W przypadku braku możliwości naprawy lub dwukrotnej awarii tego samego komponentu, Wykonawca wymieni sprzęt na nowy.</w:t>
      </w:r>
    </w:p>
    <w:p w14:paraId="3ACE2469" w14:textId="77777777" w:rsidR="00140022" w:rsidRPr="00355120" w:rsidRDefault="00140022" w:rsidP="00B35F24">
      <w:pPr>
        <w:spacing w:after="0"/>
        <w:ind w:left="72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6605440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  <w:r w:rsidRPr="00355120"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  <w:t>5. Wymagania techniczne i asortymentowe</w:t>
      </w:r>
    </w:p>
    <w:p w14:paraId="67DC7FDA" w14:textId="77777777" w:rsidR="00140022" w:rsidRPr="00355120" w:rsidRDefault="00140022" w:rsidP="00B35F24">
      <w:pPr>
        <w:spacing w:after="0"/>
        <w:ind w:left="426"/>
        <w:rPr>
          <w:rFonts w:ascii="Lato" w:eastAsia="Times New Roman" w:hAnsi="Lato" w:cstheme="majorHAnsi"/>
          <w:b/>
          <w:bCs/>
          <w:sz w:val="20"/>
          <w:szCs w:val="20"/>
          <w:lang w:eastAsia="pl-PL"/>
        </w:rPr>
      </w:pPr>
    </w:p>
    <w:p w14:paraId="388CCE6E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Parametry minimalne: Wszelkie parametry techniczne wskazane w tabelach należy traktować jako wartości minimalne (lub zakresy dopuszczalne).</w:t>
      </w:r>
    </w:p>
    <w:p w14:paraId="0CD81342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Stacja dokująca: Musi umożliwiać transmisję obrazu, sieci (LAN), danych oraz ładowanie laptopa (Power Delivery) za pomocą jednego kabla USB-C/</w:t>
      </w:r>
      <w:proofErr w:type="spellStart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Thunderbolt</w:t>
      </w:r>
      <w:proofErr w:type="spellEnd"/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.</w:t>
      </w:r>
    </w:p>
    <w:p w14:paraId="58679587" w14:textId="77777777" w:rsidR="004D3942" w:rsidRPr="00355120" w:rsidRDefault="004D3942" w:rsidP="00B35F24">
      <w:pPr>
        <w:pStyle w:val="Akapitzlist"/>
        <w:numPr>
          <w:ilvl w:val="0"/>
          <w:numId w:val="22"/>
        </w:numPr>
        <w:spacing w:after="0"/>
        <w:rPr>
          <w:rFonts w:ascii="Lato" w:eastAsia="Times New Roman" w:hAnsi="Lato" w:cstheme="majorHAnsi"/>
          <w:sz w:val="20"/>
          <w:szCs w:val="20"/>
          <w:lang w:val="pl-PL" w:eastAsia="pl-PL"/>
        </w:rPr>
      </w:pPr>
      <w:r w:rsidRPr="00355120">
        <w:rPr>
          <w:rFonts w:ascii="Lato" w:eastAsia="Times New Roman" w:hAnsi="Lato" w:cstheme="majorHAnsi"/>
          <w:sz w:val="20"/>
          <w:szCs w:val="20"/>
          <w:lang w:val="pl-PL" w:eastAsia="pl-PL"/>
        </w:rPr>
        <w:t>Serwis: Wykonawca na wezwanie Zamawiającego przedłoży dowód posiadania przez producenta autoryzowanego serwisu działającego na terenie Polski.</w:t>
      </w:r>
    </w:p>
    <w:p w14:paraId="1CEF5F27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574D79D1" w14:textId="77777777" w:rsidR="00CB779B" w:rsidRPr="00355120" w:rsidRDefault="00CB779B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0C7B260F" w14:textId="77777777" w:rsidR="00CB779B" w:rsidRPr="00355120" w:rsidRDefault="00CB779B" w:rsidP="00B35F24">
      <w:pPr>
        <w:spacing w:after="0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5BE1E07" w14:textId="75ACF670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  <w:r w:rsidRPr="00355120">
        <w:rPr>
          <w:rFonts w:ascii="Lato" w:hAnsi="Lato" w:cstheme="majorHAnsi"/>
          <w:b/>
          <w:bCs/>
          <w:color w:val="000000"/>
          <w:sz w:val="20"/>
          <w:szCs w:val="20"/>
        </w:rPr>
        <w:t xml:space="preserve">1. Tabela nr 1 – Specyfikacja Monitora </w:t>
      </w:r>
    </w:p>
    <w:p w14:paraId="2E62E1CA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6635"/>
      </w:tblGrid>
      <w:tr w:rsidR="00B0125A" w:rsidRPr="00355120" w14:paraId="77AD6247" w14:textId="77777777" w:rsidTr="00B35F2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4D93D9"/>
              <w:left w:val="single" w:sz="8" w:space="0" w:color="4D93D9"/>
              <w:bottom w:val="nil"/>
              <w:right w:val="nil"/>
            </w:tcBorders>
            <w:shd w:val="clear" w:color="000000" w:fill="4472C4"/>
            <w:vAlign w:val="center"/>
            <w:hideMark/>
          </w:tcPr>
          <w:p w14:paraId="34C4A9A8" w14:textId="0E9A561F" w:rsidR="00B0125A" w:rsidRPr="00355120" w:rsidRDefault="00140022" w:rsidP="00B35F24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  <w:t>Część I Specyfikacja Monitora wraz z niezbędnym wyposażeniem dodatkowym</w:t>
            </w:r>
          </w:p>
        </w:tc>
      </w:tr>
      <w:tr w:rsidR="00B0125A" w:rsidRPr="00355120" w14:paraId="5F8134BE" w14:textId="77777777" w:rsidTr="00B35F24">
        <w:trPr>
          <w:trHeight w:val="285"/>
        </w:trPr>
        <w:tc>
          <w:tcPr>
            <w:tcW w:w="1471" w:type="pct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1A02C3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8CDF01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B0125A" w:rsidRPr="00355120" w14:paraId="05245BFF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AD13D4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Typ i kształt matrycy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829C2D6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Matryca matowa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Anti-Glare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 VA lub IPS; Ekran zakrzywiony (promień od 1500R do 3800R)</w:t>
            </w:r>
          </w:p>
        </w:tc>
      </w:tr>
      <w:tr w:rsidR="00B0125A" w:rsidRPr="00355120" w14:paraId="6EE6858E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EE9E75A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E5D5DDB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34"</w:t>
            </w:r>
          </w:p>
        </w:tc>
      </w:tr>
      <w:tr w:rsidR="00B0125A" w:rsidRPr="00355120" w14:paraId="36F5CFE6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C9E811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7CBF800" w14:textId="4073F9E3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90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B0125A" w:rsidRPr="00355120" w14:paraId="201600F3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F35715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04AC93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3440 x 1440 pikseli (UWQHD /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UltraWide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QHD)</w:t>
            </w:r>
          </w:p>
        </w:tc>
      </w:tr>
      <w:tr w:rsidR="00B0125A" w:rsidRPr="00355120" w14:paraId="0B515047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72F261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HDR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6D4586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Monitor musi obsługiwać wyświetlanie obrazu w standardzie HDR10</w:t>
            </w:r>
          </w:p>
        </w:tc>
      </w:tr>
      <w:tr w:rsidR="00B0125A" w:rsidRPr="00355120" w14:paraId="3C593F4C" w14:textId="77777777" w:rsidTr="00B35F24">
        <w:trPr>
          <w:trHeight w:val="555"/>
        </w:trPr>
        <w:tc>
          <w:tcPr>
            <w:tcW w:w="1471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9815EE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Kamera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321A23A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Zintegrowana kamera wysuwana lub stała z fizyczną przesłoną. Rozdzielczość 2 MP; obsługa Windows Hello (czujnik IR do logowania biometrycznego). </w:t>
            </w:r>
          </w:p>
        </w:tc>
      </w:tr>
      <w:tr w:rsidR="00B0125A" w:rsidRPr="00355120" w14:paraId="7E9A6EA8" w14:textId="77777777" w:rsidTr="00B35F24">
        <w:trPr>
          <w:trHeight w:val="82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6DE113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0483EB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Dopuszczalna jest kamera z takimi samymi </w:t>
            </w:r>
            <w:proofErr w:type="gram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parametrami,</w:t>
            </w:r>
            <w:proofErr w:type="gram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jako moduł dedykowany tego samego producenta co oferowany model monitora. Zasilana z portu USB monitora, w pełni kompatybilna z dedykowanym złączem/uchwytem systemowym producenta. </w:t>
            </w:r>
          </w:p>
        </w:tc>
      </w:tr>
      <w:tr w:rsidR="00B0125A" w:rsidRPr="00355120" w14:paraId="63C9ABBE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94191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Audio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D9477E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Wbudowane głośniki stereofoniczne oraz 2 zintegrowane mikrofony z funkcją redukcji szumów otoczenia, zapewniające czysty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przesył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głosu podczas wideokonferencji.</w:t>
            </w:r>
          </w:p>
        </w:tc>
      </w:tr>
      <w:tr w:rsidR="00B0125A" w:rsidRPr="00355120" w14:paraId="523B5B2E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CE8066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Jasność i Kontrast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F20A3D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Jasność 250 cd/m²; Kontrast statyczny 3000:1 (dla matryc VA) lub 2000:1 (dla matryc IPS Black)</w:t>
            </w:r>
          </w:p>
        </w:tc>
      </w:tr>
      <w:tr w:rsidR="00B0125A" w:rsidRPr="00355120" w14:paraId="0714C859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25E45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AB54495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1x USB Typu-C (z obsługą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DisplayPort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oraz Power Delivery 65 W); 1x RJ-45 (Gigabit Ethernet); 1x HDMI 2.1(lub nowszy); 1x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DisplayPort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1.4 (lub nowszy); 2x USB 3.2 Gen 1 (Typu A)</w:t>
            </w:r>
          </w:p>
        </w:tc>
      </w:tr>
      <w:tr w:rsidR="00B0125A" w:rsidRPr="00355120" w14:paraId="41944019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356A4F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lastRenderedPageBreak/>
              <w:t>Ergonomia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E0499FC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Regulacja wysokości (100 mm); Regulacja pochylenia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Tilt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 w zakresie -5° do +20°; Regulacja obrotu w poziomie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Swivel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</w:t>
            </w:r>
          </w:p>
        </w:tc>
      </w:tr>
      <w:tr w:rsidR="00B0125A" w:rsidRPr="00355120" w14:paraId="4922B892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F6BDA1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Dodatkowe funkcje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79BA55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Wbudowany przełącznik KVM (obsługa dwóch stacji roboczych jednym zestawem mysz/klawiatura); Technologie ochrony wzroku (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Flicker-free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Low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 xml:space="preserve"> Blue </w:t>
            </w:r>
            <w:proofErr w:type="spellStart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Light</w:t>
            </w:r>
            <w:proofErr w:type="spellEnd"/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)</w:t>
            </w:r>
          </w:p>
        </w:tc>
      </w:tr>
      <w:tr w:rsidR="00B0125A" w:rsidRPr="00355120" w14:paraId="20E5E666" w14:textId="77777777" w:rsidTr="00B35F24">
        <w:trPr>
          <w:trHeight w:val="55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40F9B32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Montaż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5C1A50D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Otwory montażowe w standardzie VESA 100x100 mm, umożliwiające montaż ekranu na opcjonalnych uchwytach po zdemontowaniu fabrycznej podstawy</w:t>
            </w:r>
          </w:p>
        </w:tc>
      </w:tr>
      <w:tr w:rsidR="00B0125A" w:rsidRPr="00355120" w14:paraId="79E92DEB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EC4A881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9812159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F1F1F"/>
                <w:sz w:val="20"/>
                <w:szCs w:val="20"/>
                <w:lang w:eastAsia="pl-PL"/>
              </w:rPr>
              <w:t>Kabel zasilający, kabel USB-C (obsługujący wideo i zasilanie 65 W), instrukcja obsługi w języku polskim</w:t>
            </w:r>
          </w:p>
        </w:tc>
      </w:tr>
      <w:tr w:rsidR="00B0125A" w:rsidRPr="00355120" w14:paraId="7E31A13C" w14:textId="77777777" w:rsidTr="00B35F24">
        <w:trPr>
          <w:trHeight w:val="285"/>
        </w:trPr>
        <w:tc>
          <w:tcPr>
            <w:tcW w:w="1471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FFFFFF"/>
            <w:vAlign w:val="center"/>
            <w:hideMark/>
          </w:tcPr>
          <w:p w14:paraId="16A758D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Certyfikaty, normy, ekologia</w:t>
            </w:r>
          </w:p>
        </w:tc>
        <w:tc>
          <w:tcPr>
            <w:tcW w:w="3529" w:type="pct"/>
            <w:tcBorders>
              <w:top w:val="single" w:sz="8" w:space="0" w:color="4D93D9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D06EFFE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Urządzenie musi posiadać:</w:t>
            </w:r>
          </w:p>
        </w:tc>
      </w:tr>
      <w:tr w:rsidR="00B0125A" w:rsidRPr="00355120" w14:paraId="18ECC97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1038351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ED19278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oznakowanie CE oraz spełniać normy bezpieczeństwa elektrycznego (np. IEC 62368-1 lub równoważne);</w:t>
            </w:r>
          </w:p>
        </w:tc>
      </w:tr>
      <w:tr w:rsidR="00B0125A" w:rsidRPr="00355120" w14:paraId="7781855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EFA3CE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0FEBC0F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wymagania dotyczące kompatybilności elektromagnetycznej EMC;</w:t>
            </w:r>
          </w:p>
        </w:tc>
      </w:tr>
      <w:tr w:rsidR="00B0125A" w:rsidRPr="00355120" w14:paraId="28B36698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EE5E247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4269F21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sprzęt musi być zgodny z międzynarodowymi normami efektywności energetycznej dla urządzeń komputerowych (np. Energy Star), gwarantującymi optymalne zarządzanie energią zarówno w trybach oszczędnych, jak i pod obciążeniem;</w:t>
            </w:r>
          </w:p>
        </w:tc>
      </w:tr>
      <w:tr w:rsidR="00B0125A" w:rsidRPr="00355120" w14:paraId="26EC68DB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5739224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bottom"/>
            <w:hideMark/>
          </w:tcPr>
          <w:p w14:paraId="3DBA160B" w14:textId="22606720" w:rsidR="00B0125A" w:rsidRPr="00355120" w:rsidRDefault="00B2521F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p</w:t>
            </w:r>
            <w:r w:rsidR="00B0125A"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rodukcja wg normy ISO 9001:2015 lub równoważnej;</w:t>
            </w:r>
          </w:p>
        </w:tc>
      </w:tr>
      <w:tr w:rsidR="00B0125A" w:rsidRPr="00355120" w14:paraId="7F052800" w14:textId="77777777" w:rsidTr="00B35F24">
        <w:trPr>
          <w:trHeight w:val="300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67F70A0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2108682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certyfikat TCO9 lub nowszy;</w:t>
            </w:r>
          </w:p>
        </w:tc>
      </w:tr>
      <w:tr w:rsidR="00B0125A" w:rsidRPr="00355120" w14:paraId="68A7E6C4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3DC9518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0506E65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 xml:space="preserve">monitor musi spełniać kryteria środowiskowe, w tym zgodności z dyrektywą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RoHS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 xml:space="preserve"> Unii Europejskiej o eliminacji substancji niebezpiecznych w postaci oświadczenia producenta jednostki;</w:t>
            </w:r>
          </w:p>
        </w:tc>
      </w:tr>
      <w:tr w:rsidR="00B0125A" w:rsidRPr="00355120" w14:paraId="573A086C" w14:textId="77777777" w:rsidTr="00B35F24">
        <w:trPr>
          <w:trHeight w:val="555"/>
        </w:trPr>
        <w:tc>
          <w:tcPr>
            <w:tcW w:w="1471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0C4CD163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A0970D1" w14:textId="77777777" w:rsidR="00B0125A" w:rsidRPr="00355120" w:rsidRDefault="00B0125A" w:rsidP="00B35F24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val="pl-PL" w:eastAsia="pl-PL"/>
              </w:rPr>
              <w:t>zgodnie z zasadą DNSH, monitor musi charakteryzować się wysoką efektywnością energetyczną: klasa energetyczna F w trybie SDR (LUB najwyższa dostępna na rynku dla monitorów o przekątnej 34" i rozdzielczości UWQHD</w:t>
            </w:r>
          </w:p>
        </w:tc>
      </w:tr>
      <w:tr w:rsidR="00B0125A" w:rsidRPr="00355120" w14:paraId="2C7CC92B" w14:textId="77777777" w:rsidTr="00B35F24">
        <w:trPr>
          <w:trHeight w:val="285"/>
        </w:trPr>
        <w:tc>
          <w:tcPr>
            <w:tcW w:w="1471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FFFFFF"/>
            <w:vAlign w:val="center"/>
            <w:hideMark/>
          </w:tcPr>
          <w:p w14:paraId="6861F2DF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Gwarancja i wsparcie techniczne Producenta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0AF3479" w14:textId="77777777" w:rsidR="00B0125A" w:rsidRPr="00355120" w:rsidRDefault="00B0125A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Gwarancja 36 miesięcy świadczona w miejscu użytkowania sprzętu (on-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site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).</w:t>
            </w:r>
          </w:p>
        </w:tc>
      </w:tr>
    </w:tbl>
    <w:p w14:paraId="2983FA9E" w14:textId="77777777" w:rsidR="00BD11CD" w:rsidRPr="00355120" w:rsidRDefault="00BD11CD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1AECFA38" w14:textId="77777777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</w:p>
    <w:p w14:paraId="6BA6C324" w14:textId="20BDD71F" w:rsidR="00140022" w:rsidRPr="00355120" w:rsidRDefault="00140022" w:rsidP="00B35F24">
      <w:pPr>
        <w:spacing w:after="200"/>
        <w:contextualSpacing/>
        <w:rPr>
          <w:rFonts w:ascii="Lato" w:hAnsi="Lato" w:cstheme="majorHAnsi"/>
          <w:b/>
          <w:bCs/>
          <w:color w:val="000000"/>
          <w:sz w:val="20"/>
          <w:szCs w:val="20"/>
        </w:rPr>
      </w:pPr>
      <w:r w:rsidRPr="00355120">
        <w:rPr>
          <w:rFonts w:ascii="Lato" w:hAnsi="Lato" w:cstheme="majorHAnsi"/>
          <w:b/>
          <w:bCs/>
          <w:color w:val="000000"/>
          <w:sz w:val="20"/>
          <w:szCs w:val="20"/>
        </w:rPr>
        <w:t>2. Tabela nr 2 – Specyfikacja Monitora</w:t>
      </w:r>
    </w:p>
    <w:p w14:paraId="24A264EF" w14:textId="77777777" w:rsidR="004D64AB" w:rsidRPr="00355120" w:rsidRDefault="004D64AB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707"/>
      </w:tblGrid>
      <w:tr w:rsidR="004D3942" w:rsidRPr="00355120" w14:paraId="6DCC536A" w14:textId="77777777" w:rsidTr="00B35F24">
        <w:trPr>
          <w:trHeight w:val="315"/>
        </w:trPr>
        <w:tc>
          <w:tcPr>
            <w:tcW w:w="5000" w:type="pct"/>
            <w:gridSpan w:val="2"/>
            <w:tcBorders>
              <w:top w:val="single" w:sz="8" w:space="0" w:color="4D93D9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shd w:val="clear" w:color="000000" w:fill="4472C4"/>
            <w:vAlign w:val="center"/>
            <w:hideMark/>
          </w:tcPr>
          <w:p w14:paraId="3859F302" w14:textId="77777777" w:rsidR="004D3942" w:rsidRPr="00355120" w:rsidRDefault="004D3942" w:rsidP="00B35F24">
            <w:pPr>
              <w:spacing w:after="0"/>
              <w:jc w:val="center"/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b/>
                <w:bCs/>
                <w:color w:val="FFFFFF"/>
                <w:sz w:val="20"/>
                <w:szCs w:val="20"/>
                <w:lang w:eastAsia="pl-PL"/>
              </w:rPr>
              <w:t>Część II Specyfikacja Monitora wraz z niezbędnym wyposażeniem dodatkowym</w:t>
            </w:r>
          </w:p>
        </w:tc>
      </w:tr>
      <w:tr w:rsidR="004D3942" w:rsidRPr="00355120" w14:paraId="4C413089" w14:textId="77777777" w:rsidTr="00B35F2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2A8F27B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Nazwa elementu, parametru lub cechy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66B44F5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Wymagane minimalne parametry</w:t>
            </w:r>
          </w:p>
        </w:tc>
      </w:tr>
      <w:tr w:rsidR="004D3942" w:rsidRPr="00355120" w14:paraId="317B6D05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BEFE72F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Wyświetlacz 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D84FA1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a) Wielkość: 27”;</w:t>
            </w:r>
          </w:p>
        </w:tc>
      </w:tr>
      <w:tr w:rsidR="004D3942" w:rsidRPr="00355120" w14:paraId="45FB77E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7122DC8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F73511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b) Matryca obsługująca natywnie rozdzielczość minimum 4K UHD (3840 x 2160)</w:t>
            </w:r>
          </w:p>
        </w:tc>
      </w:tr>
      <w:tr w:rsidR="004D3942" w:rsidRPr="00355120" w14:paraId="5AA13D9E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B331BB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2BA92DE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c) Technologia powłoki ekranu - matryca w technologii zmniejszającej odblaski;</w:t>
            </w:r>
          </w:p>
        </w:tc>
      </w:tr>
      <w:tr w:rsidR="004D3942" w:rsidRPr="00355120" w14:paraId="600C074C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6C5B09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915453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d) Jasność: 600 nitów;</w:t>
            </w:r>
          </w:p>
        </w:tc>
      </w:tr>
      <w:tr w:rsidR="004D3942" w:rsidRPr="00355120" w14:paraId="338E8837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880C5A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0F2C5A3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e) Pokrycie gamy kolorów - P3</w:t>
            </w:r>
          </w:p>
        </w:tc>
      </w:tr>
      <w:tr w:rsidR="004D3942" w:rsidRPr="00355120" w14:paraId="0A2C5016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E0C665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CBF18EF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f) Możliwość wyświetlenia 1 mld kolorów</w:t>
            </w:r>
          </w:p>
        </w:tc>
      </w:tr>
      <w:tr w:rsidR="004D3942" w:rsidRPr="00355120" w14:paraId="4E5046A2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109058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Wyposażenie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3224F178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 Podstawka umożliwiająca regulację pochylenia oraz wysokości monitora, </w:t>
            </w:r>
          </w:p>
        </w:tc>
      </w:tr>
      <w:tr w:rsidR="004D3942" w:rsidRPr="00355120" w14:paraId="388AA4B1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8B29DF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763539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 Przewód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(długość 1 m)</w:t>
            </w:r>
          </w:p>
        </w:tc>
      </w:tr>
      <w:tr w:rsidR="004D3942" w:rsidRPr="00355120" w14:paraId="4F1E6614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9DCF63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CDF572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c) Wbudowana kamera o rozdzielczości 12 MP z funkcją automatycznego kadrowania (auto-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framing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), utrzymującą użytkownika w centrum obrazu</w:t>
            </w:r>
          </w:p>
        </w:tc>
      </w:tr>
      <w:tr w:rsidR="004D3942" w:rsidRPr="00355120" w14:paraId="2022259B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3EE60E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lastRenderedPageBreak/>
              <w:t>Porty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40C8A4A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2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złącze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4</w:t>
            </w:r>
          </w:p>
        </w:tc>
      </w:tr>
      <w:tr w:rsidR="004D3942" w:rsidRPr="00355120" w14:paraId="5D587E3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909745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AC1F17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 2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 złącza USB-C</w:t>
            </w:r>
          </w:p>
        </w:tc>
      </w:tr>
      <w:tr w:rsidR="004D3942" w:rsidRPr="00355120" w14:paraId="154D9625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6EE57E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Dźwięk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20AFDA1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 xml:space="preserve">a) System głośników hi-fi </w:t>
            </w:r>
          </w:p>
        </w:tc>
      </w:tr>
      <w:tr w:rsidR="004D3942" w:rsidRPr="00355120" w14:paraId="084C7E9D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85C65B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131784C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b) Przestrzenny dźwięk stereo</w:t>
            </w:r>
          </w:p>
        </w:tc>
      </w:tr>
      <w:tr w:rsidR="004D3942" w:rsidRPr="00355120" w14:paraId="70F75CD9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9A1FDB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5690180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c) Wsparcie dla technologii Dolby </w:t>
            </w:r>
            <w:proofErr w:type="spellStart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Atmos</w:t>
            </w:r>
            <w:proofErr w:type="spellEnd"/>
          </w:p>
        </w:tc>
      </w:tr>
      <w:tr w:rsidR="004D3942" w:rsidRPr="00355120" w14:paraId="194546F3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CB1DE8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EB2B7E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d) </w:t>
            </w:r>
            <w:proofErr w:type="gramStart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>Układ  trzech</w:t>
            </w:r>
            <w:proofErr w:type="gramEnd"/>
            <w:r w:rsidRPr="00355120">
              <w:rPr>
                <w:rFonts w:ascii="Lato" w:eastAsia="Times New Roman" w:hAnsi="Lato" w:cstheme="majorHAnsi"/>
                <w:color w:val="1D1D1F"/>
                <w:sz w:val="20"/>
                <w:szCs w:val="20"/>
                <w:lang w:eastAsia="pl-PL"/>
              </w:rPr>
              <w:t xml:space="preserve"> mikrofonów z technologią kierunkowego kształtowania wiązki akustycznej i redukcji szumów</w:t>
            </w:r>
          </w:p>
        </w:tc>
      </w:tr>
      <w:tr w:rsidR="004D3942" w:rsidRPr="00355120" w14:paraId="1D8E2873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1BF96B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Standardy i certyfikaty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7E04E9E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a) Deklaracja zgodności CE dla oferowanego Monitora wystawiona przez producenta sprzętu lub jego upoważnionego przedstawiciela, </w:t>
            </w:r>
          </w:p>
        </w:tc>
      </w:tr>
      <w:tr w:rsidR="004D3942" w:rsidRPr="00355120" w14:paraId="2D18A510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1B27C0C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674DC20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b) Potwierdzenie spełnienia kryteriów środowiskowych, w tym zgodności z dyrektywą Parlamentu Europejskiego i Rady 2011/65/UE z dnia 8 czerwca 2011 r. w sprawie ograniczenia stosowania niektórych niebezpiecznych substancji w sprzęcie elektrycznym i elektronicznym</w:t>
            </w:r>
          </w:p>
        </w:tc>
      </w:tr>
      <w:tr w:rsidR="004D3942" w:rsidRPr="00355120" w14:paraId="5E7F7299" w14:textId="77777777" w:rsidTr="00B35F24">
        <w:trPr>
          <w:trHeight w:val="55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581249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66657D2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c) Potwierdzenie, że zaoferowany sprzęt komputerowy został wyprodukowany zgodnie z wdrożoną normą PN-EN ISO 9001:2015 lub równoważną (zgodnie z art. 104-107 ustawy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);</w:t>
            </w:r>
          </w:p>
        </w:tc>
      </w:tr>
      <w:tr w:rsidR="004D3942" w:rsidRPr="00355120" w14:paraId="65E28FAC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A5C363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1E98C5A2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d) Zamawiający dopuszcza złożenie dokumentów w wersji anglojęzycznej;</w:t>
            </w:r>
          </w:p>
        </w:tc>
      </w:tr>
      <w:tr w:rsidR="004D3942" w:rsidRPr="00355120" w14:paraId="55F9C000" w14:textId="77777777" w:rsidTr="00B35F24">
        <w:trPr>
          <w:trHeight w:val="31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FAE9FB0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2930F37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 kolorze srebrnym</w:t>
            </w:r>
          </w:p>
        </w:tc>
      </w:tr>
      <w:tr w:rsidR="004D3942" w:rsidRPr="00355120" w14:paraId="657E6C68" w14:textId="77777777" w:rsidTr="00B35F24">
        <w:trPr>
          <w:trHeight w:val="555"/>
        </w:trPr>
        <w:tc>
          <w:tcPr>
            <w:tcW w:w="1429" w:type="pc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6947A5AD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7CABCA57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Łączna waga zestawu (monitor wraz z dedykowaną podstawką z regulacją wysokości) nie może przekraczać 8 kg (zasilacz zintegrowany w obudowie monitora).</w:t>
            </w:r>
          </w:p>
        </w:tc>
      </w:tr>
      <w:tr w:rsidR="004D3942" w:rsidRPr="00355120" w14:paraId="2E24FA28" w14:textId="77777777" w:rsidTr="00B35F24">
        <w:trPr>
          <w:trHeight w:val="315"/>
        </w:trPr>
        <w:tc>
          <w:tcPr>
            <w:tcW w:w="1429" w:type="pct"/>
            <w:vMerge w:val="restart"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3E11B4E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3571" w:type="pct"/>
            <w:tcBorders>
              <w:top w:val="nil"/>
              <w:left w:val="nil"/>
              <w:bottom w:val="nil"/>
              <w:right w:val="single" w:sz="8" w:space="0" w:color="4D93D9"/>
            </w:tcBorders>
            <w:vAlign w:val="center"/>
            <w:hideMark/>
          </w:tcPr>
          <w:p w14:paraId="48563466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a) oryginalny zasilacz dedykowany przez producenta do modelu;</w:t>
            </w:r>
          </w:p>
        </w:tc>
      </w:tr>
      <w:tr w:rsidR="004D3942" w:rsidRPr="00355120" w14:paraId="645B039A" w14:textId="77777777" w:rsidTr="00B35F24">
        <w:trPr>
          <w:trHeight w:val="315"/>
        </w:trPr>
        <w:tc>
          <w:tcPr>
            <w:tcW w:w="1429" w:type="pct"/>
            <w:vMerge/>
            <w:tcBorders>
              <w:top w:val="nil"/>
              <w:left w:val="single" w:sz="8" w:space="0" w:color="4D93D9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5B9DA6D9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71" w:type="pct"/>
            <w:tcBorders>
              <w:top w:val="nil"/>
              <w:left w:val="nil"/>
              <w:bottom w:val="single" w:sz="8" w:space="0" w:color="4D93D9"/>
              <w:right w:val="single" w:sz="8" w:space="0" w:color="4D93D9"/>
            </w:tcBorders>
            <w:vAlign w:val="center"/>
            <w:hideMark/>
          </w:tcPr>
          <w:p w14:paraId="4A16B643" w14:textId="77777777" w:rsidR="004D3942" w:rsidRPr="00355120" w:rsidRDefault="004D3942" w:rsidP="00B35F24">
            <w:pPr>
              <w:spacing w:after="0"/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</w:pPr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 xml:space="preserve">b)1 x kabel </w:t>
            </w:r>
            <w:proofErr w:type="spellStart"/>
            <w:r w:rsidRPr="00355120">
              <w:rPr>
                <w:rFonts w:ascii="Lato" w:eastAsia="Times New Roman" w:hAnsi="Lato" w:cstheme="majorHAnsi"/>
                <w:color w:val="000000"/>
                <w:sz w:val="20"/>
                <w:szCs w:val="20"/>
                <w:lang w:eastAsia="pl-PL"/>
              </w:rPr>
              <w:t>Thunderbolt</w:t>
            </w:r>
            <w:proofErr w:type="spellEnd"/>
          </w:p>
        </w:tc>
      </w:tr>
    </w:tbl>
    <w:p w14:paraId="46AEAE34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4B1E3847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7EF7946B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2A81CDAA" w14:textId="77777777" w:rsidR="004D3942" w:rsidRPr="00355120" w:rsidRDefault="004D3942" w:rsidP="00B35F24">
      <w:pPr>
        <w:spacing w:after="0"/>
        <w:ind w:left="426"/>
        <w:rPr>
          <w:rFonts w:ascii="Lato" w:eastAsia="Times New Roman" w:hAnsi="Lato" w:cstheme="majorHAnsi"/>
          <w:sz w:val="20"/>
          <w:szCs w:val="20"/>
          <w:lang w:eastAsia="pl-PL"/>
        </w:rPr>
      </w:pPr>
    </w:p>
    <w:p w14:paraId="5D66B3A4" w14:textId="0F349290" w:rsidR="004D64AB" w:rsidRPr="00042DD1" w:rsidRDefault="004D64AB" w:rsidP="00355120">
      <w:pPr>
        <w:rPr>
          <w:rFonts w:ascii="Lato" w:eastAsia="Times New Roman" w:hAnsi="Lato" w:cstheme="majorHAnsi"/>
          <w:sz w:val="20"/>
          <w:szCs w:val="20"/>
          <w:lang w:eastAsia="pl-PL"/>
        </w:rPr>
      </w:pPr>
      <w:r w:rsidRPr="00355120">
        <w:rPr>
          <w:rFonts w:ascii="Lato" w:hAnsi="Lato" w:cstheme="majorHAnsi"/>
          <w:sz w:val="20"/>
          <w:szCs w:val="20"/>
        </w:rPr>
        <w:t>Dokument sporządził: Tomasz Staszczyk</w:t>
      </w:r>
      <w:r w:rsidR="00CB779B" w:rsidRPr="00355120">
        <w:rPr>
          <w:rFonts w:ascii="Lato" w:hAnsi="Lato" w:cstheme="majorHAnsi"/>
          <w:sz w:val="20"/>
          <w:szCs w:val="20"/>
        </w:rPr>
        <w:t>, Andrzej Leśniarek</w:t>
      </w:r>
    </w:p>
    <w:sectPr w:rsidR="004D64AB" w:rsidRPr="00042DD1" w:rsidSect="00CA464D">
      <w:footerReference w:type="default" r:id="rId12"/>
      <w:footerReference w:type="first" r:id="rId13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1BCDF" w14:textId="77777777" w:rsidR="006E0204" w:rsidRPr="00355120" w:rsidRDefault="006E0204">
      <w:pPr>
        <w:spacing w:after="0"/>
      </w:pPr>
      <w:r w:rsidRPr="00355120">
        <w:separator/>
      </w:r>
    </w:p>
  </w:endnote>
  <w:endnote w:type="continuationSeparator" w:id="0">
    <w:p w14:paraId="28F820D7" w14:textId="77777777" w:rsidR="006E0204" w:rsidRPr="00355120" w:rsidRDefault="006E0204">
      <w:pPr>
        <w:spacing w:after="0"/>
      </w:pPr>
      <w:r w:rsidRPr="003551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901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CE4EA0" w14:textId="77777777" w:rsidR="002A56F4" w:rsidRPr="00355120" w:rsidRDefault="002A56F4" w:rsidP="00AD31B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355120">
          <w:rPr>
            <w:color w:val="005DA9"/>
            <w:sz w:val="16"/>
            <w:szCs w:val="16"/>
          </w:rPr>
          <w:drawing>
            <wp:anchor distT="0" distB="0" distL="114300" distR="114300" simplePos="0" relativeHeight="251667456" behindDoc="0" locked="0" layoutInCell="1" allowOverlap="1" wp14:anchorId="2DE77B03" wp14:editId="2466E14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639407110" name="Obraz 1639407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5120">
          <w:rPr>
            <w:b/>
            <w:bCs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9DC592D" wp14:editId="3555CF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7026513" name="Prostokąt 10170265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2FC35836">
                <v:rect id="Prostokąt 1017026513" style="position:absolute;margin-left:0;margin-top:7.3pt;width:276.05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34E3AE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80C8F11" wp14:editId="54D93EA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018122547" name="Prostokąt 20181225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503BD9BD">
                <v:rect id="Prostokąt 2018122547" style="position:absolute;margin-left:274.7pt;margin-top:7.3pt;width:155.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61EFE6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w:fldChar w:fldCharType="begin"/>
        </w:r>
        <w:r w:rsidRPr="00355120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355120">
          <w:rPr>
            <w:b/>
            <w:bCs/>
            <w:color w:val="005DA9"/>
            <w:sz w:val="16"/>
            <w:szCs w:val="16"/>
          </w:rPr>
          <w:fldChar w:fldCharType="separate"/>
        </w:r>
        <w:r w:rsidRPr="00355120">
          <w:rPr>
            <w:b/>
            <w:bCs/>
            <w:color w:val="005DA9"/>
            <w:sz w:val="16"/>
            <w:szCs w:val="16"/>
          </w:rPr>
          <w:t>1</w:t>
        </w:r>
        <w:r w:rsidRPr="00355120">
          <w:rPr>
            <w:b/>
            <w:bCs/>
            <w:color w:val="005DA9"/>
            <w:sz w:val="16"/>
            <w:szCs w:val="16"/>
          </w:rPr>
          <w:fldChar w:fldCharType="end"/>
        </w:r>
        <w:r w:rsidRPr="00355120">
          <w:rPr>
            <w:color w:val="005DA9"/>
            <w:sz w:val="16"/>
            <w:szCs w:val="16"/>
          </w:rPr>
          <w:t xml:space="preserve"> z </w:t>
        </w:r>
        <w:r w:rsidRPr="00355120">
          <w:rPr>
            <w:color w:val="005DA9"/>
            <w:sz w:val="16"/>
            <w:szCs w:val="16"/>
          </w:rPr>
          <w:fldChar w:fldCharType="begin"/>
        </w:r>
        <w:r w:rsidRPr="00355120">
          <w:rPr>
            <w:color w:val="005DA9"/>
            <w:sz w:val="16"/>
            <w:szCs w:val="16"/>
          </w:rPr>
          <w:instrText xml:space="preserve"> NUMPAGES  \# "0"  \* MERGEFORMAT </w:instrText>
        </w:r>
        <w:r w:rsidRPr="00355120">
          <w:rPr>
            <w:color w:val="005DA9"/>
            <w:sz w:val="16"/>
            <w:szCs w:val="16"/>
          </w:rPr>
          <w:fldChar w:fldCharType="separate"/>
        </w:r>
        <w:r w:rsidRPr="00355120">
          <w:rPr>
            <w:color w:val="005DA9"/>
            <w:sz w:val="16"/>
            <w:szCs w:val="16"/>
          </w:rPr>
          <w:t>1</w:t>
        </w:r>
        <w:r w:rsidRPr="00355120">
          <w:rPr>
            <w:color w:val="005DA9"/>
            <w:sz w:val="16"/>
            <w:szCs w:val="16"/>
          </w:rPr>
          <w:fldChar w:fldCharType="end"/>
        </w:r>
      </w:p>
    </w:sdtContent>
  </w:sdt>
  <w:p w14:paraId="2DAB19A2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Centrum e-Zdrowia</w:t>
    </w:r>
    <w:r w:rsidRPr="00355120">
      <w:rPr>
        <w:sz w:val="16"/>
        <w:szCs w:val="16"/>
      </w:rPr>
      <w:tab/>
      <w:t xml:space="preserve">tel.: </w:t>
    </w:r>
    <w:r w:rsidRPr="00355120">
      <w:rPr>
        <w:rFonts w:eastAsiaTheme="minorHAnsi" w:cs="Calibri"/>
        <w:sz w:val="16"/>
        <w:szCs w:val="16"/>
      </w:rPr>
      <w:t>+48 22 597-09-27</w:t>
    </w:r>
  </w:p>
  <w:p w14:paraId="18031699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ul. Stanisława Dubois 5A</w:t>
    </w:r>
    <w:r w:rsidRPr="00355120">
      <w:rPr>
        <w:sz w:val="16"/>
        <w:szCs w:val="16"/>
      </w:rPr>
      <w:tab/>
    </w:r>
    <w:r w:rsidRPr="00355120">
      <w:rPr>
        <w:rFonts w:eastAsiaTheme="minorHAnsi" w:cs="Calibri"/>
        <w:sz w:val="16"/>
        <w:szCs w:val="16"/>
      </w:rPr>
      <w:t>fax: +48 22 597-09-37</w:t>
    </w:r>
    <w:r w:rsidRPr="00355120">
      <w:rPr>
        <w:rFonts w:eastAsiaTheme="minorHAnsi" w:cs="Calibri"/>
        <w:sz w:val="16"/>
        <w:szCs w:val="16"/>
      </w:rPr>
      <w:tab/>
      <w:t>NIP: 5251575309</w:t>
    </w:r>
  </w:p>
  <w:p w14:paraId="4986AEA5" w14:textId="77777777" w:rsidR="002A56F4" w:rsidRPr="00355120" w:rsidRDefault="002A56F4" w:rsidP="00AD31B7">
    <w:pPr>
      <w:pStyle w:val="Stopka"/>
      <w:tabs>
        <w:tab w:val="clear" w:pos="4536"/>
        <w:tab w:val="left" w:pos="2450"/>
        <w:tab w:val="left" w:pos="5502"/>
      </w:tabs>
    </w:pPr>
    <w:r w:rsidRPr="00355120">
      <w:rPr>
        <w:rFonts w:eastAsiaTheme="minorHAnsi" w:cs="Calibri"/>
        <w:sz w:val="16"/>
        <w:szCs w:val="16"/>
      </w:rPr>
      <w:t>00-184 Warszawa</w:t>
    </w:r>
    <w:r w:rsidRPr="00355120">
      <w:rPr>
        <w:rFonts w:eastAsiaTheme="minorHAnsi" w:cs="Calibri"/>
        <w:sz w:val="16"/>
        <w:szCs w:val="16"/>
      </w:rPr>
      <w:tab/>
    </w:r>
    <w:r w:rsidRPr="00355120">
      <w:rPr>
        <w:rFonts w:eastAsiaTheme="minorHAnsi" w:cs="Calibri"/>
        <w:sz w:val="16"/>
        <w:szCs w:val="16"/>
        <w:u w:val="single"/>
      </w:rPr>
      <w:t>biuro@cez.gov.pl</w:t>
    </w:r>
    <w:r w:rsidRPr="00355120">
      <w:rPr>
        <w:rFonts w:eastAsiaTheme="minorHAnsi" w:cs="Calibri"/>
        <w:sz w:val="16"/>
        <w:szCs w:val="16"/>
      </w:rPr>
      <w:t xml:space="preserve"> | </w:t>
    </w:r>
    <w:r w:rsidRPr="00355120">
      <w:rPr>
        <w:rFonts w:eastAsiaTheme="minorHAnsi" w:cs="Calibri"/>
        <w:sz w:val="16"/>
        <w:szCs w:val="16"/>
        <w:u w:val="single"/>
      </w:rPr>
      <w:t>www.cez.gov.pl</w:t>
    </w:r>
    <w:r w:rsidRPr="00355120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45C8BEA" w14:textId="77777777" w:rsidR="002A56F4" w:rsidRPr="00355120" w:rsidRDefault="002A56F4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355120">
          <w:rPr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2D44EDA6" wp14:editId="485DCB8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5120">
          <w:rPr>
            <w:b/>
            <w:bCs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154D14E" wp14:editId="3DEE75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12D1B040">
                <v:rect id="Prostokąt 29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0cc3c" stroked="f" strokeweight="1pt" w14:anchorId="40514E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0E4EA5" wp14:editId="3FEBC34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pic="http://schemas.openxmlformats.org/drawingml/2006/picture" xmlns:a14="http://schemas.microsoft.com/office/drawing/2010/main">
              <w:pict w14:anchorId="7C4E993B">
                <v:rect id="Prostokąt 30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5da9" stroked="f" strokeweight="1pt" w14:anchorId="3BEA7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355120">
          <w:rPr>
            <w:b/>
            <w:bCs/>
            <w:color w:val="005DA9"/>
            <w:sz w:val="16"/>
            <w:szCs w:val="16"/>
          </w:rPr>
          <w:fldChar w:fldCharType="begin"/>
        </w:r>
        <w:r w:rsidRPr="00355120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355120">
          <w:rPr>
            <w:b/>
            <w:bCs/>
            <w:color w:val="005DA9"/>
            <w:sz w:val="16"/>
            <w:szCs w:val="16"/>
          </w:rPr>
          <w:fldChar w:fldCharType="separate"/>
        </w:r>
        <w:r w:rsidRPr="00355120">
          <w:rPr>
            <w:b/>
            <w:bCs/>
            <w:color w:val="005DA9"/>
            <w:sz w:val="16"/>
            <w:szCs w:val="16"/>
          </w:rPr>
          <w:t>1</w:t>
        </w:r>
        <w:r w:rsidRPr="00355120">
          <w:rPr>
            <w:b/>
            <w:bCs/>
            <w:color w:val="005DA9"/>
            <w:sz w:val="16"/>
            <w:szCs w:val="16"/>
          </w:rPr>
          <w:fldChar w:fldCharType="end"/>
        </w:r>
        <w:r w:rsidRPr="00355120">
          <w:rPr>
            <w:color w:val="005DA9"/>
            <w:sz w:val="16"/>
            <w:szCs w:val="16"/>
          </w:rPr>
          <w:t xml:space="preserve"> z </w:t>
        </w:r>
        <w:r w:rsidRPr="00355120">
          <w:rPr>
            <w:color w:val="005DA9"/>
            <w:sz w:val="16"/>
            <w:szCs w:val="16"/>
          </w:rPr>
          <w:fldChar w:fldCharType="begin"/>
        </w:r>
        <w:r w:rsidRPr="00355120">
          <w:rPr>
            <w:color w:val="005DA9"/>
            <w:sz w:val="16"/>
            <w:szCs w:val="16"/>
          </w:rPr>
          <w:instrText xml:space="preserve"> NUMPAGES  \# "0"  \* MERGEFORMAT </w:instrText>
        </w:r>
        <w:r w:rsidRPr="00355120">
          <w:rPr>
            <w:color w:val="005DA9"/>
            <w:sz w:val="16"/>
            <w:szCs w:val="16"/>
          </w:rPr>
          <w:fldChar w:fldCharType="separate"/>
        </w:r>
        <w:r w:rsidRPr="00355120">
          <w:rPr>
            <w:color w:val="005DA9"/>
            <w:sz w:val="16"/>
            <w:szCs w:val="16"/>
          </w:rPr>
          <w:t>1</w:t>
        </w:r>
        <w:r w:rsidRPr="00355120">
          <w:rPr>
            <w:color w:val="005DA9"/>
            <w:sz w:val="16"/>
            <w:szCs w:val="16"/>
          </w:rPr>
          <w:fldChar w:fldCharType="end"/>
        </w:r>
      </w:p>
    </w:sdtContent>
  </w:sdt>
  <w:p w14:paraId="6D703911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Centrum e-Zdrowia</w:t>
    </w:r>
    <w:r w:rsidRPr="00355120">
      <w:rPr>
        <w:sz w:val="16"/>
        <w:szCs w:val="16"/>
      </w:rPr>
      <w:tab/>
      <w:t xml:space="preserve">tel.: </w:t>
    </w:r>
    <w:r w:rsidRPr="00355120">
      <w:rPr>
        <w:rFonts w:eastAsiaTheme="minorHAnsi" w:cs="Calibri"/>
        <w:sz w:val="16"/>
        <w:szCs w:val="16"/>
      </w:rPr>
      <w:t>+48 22 597-09-27</w:t>
    </w:r>
  </w:p>
  <w:p w14:paraId="054A2FB3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355120">
      <w:rPr>
        <w:sz w:val="16"/>
        <w:szCs w:val="16"/>
      </w:rPr>
      <w:t>ul. Stanisława Dubois 5A</w:t>
    </w:r>
    <w:r w:rsidRPr="00355120">
      <w:rPr>
        <w:sz w:val="16"/>
        <w:szCs w:val="16"/>
      </w:rPr>
      <w:tab/>
    </w:r>
    <w:r w:rsidRPr="00355120">
      <w:rPr>
        <w:rFonts w:eastAsiaTheme="minorHAnsi" w:cs="Calibri"/>
        <w:sz w:val="16"/>
        <w:szCs w:val="16"/>
      </w:rPr>
      <w:t>fax: +48 22 597-09-37</w:t>
    </w:r>
    <w:r w:rsidRPr="00355120">
      <w:rPr>
        <w:rFonts w:eastAsiaTheme="minorHAnsi" w:cs="Calibri"/>
        <w:sz w:val="16"/>
        <w:szCs w:val="16"/>
      </w:rPr>
      <w:tab/>
      <w:t>NIP: 5251575309</w:t>
    </w:r>
  </w:p>
  <w:p w14:paraId="0A149682" w14:textId="77777777" w:rsidR="002A56F4" w:rsidRPr="00355120" w:rsidRDefault="002A56F4" w:rsidP="00B75EBB">
    <w:pPr>
      <w:pStyle w:val="Stopka"/>
      <w:tabs>
        <w:tab w:val="clear" w:pos="4536"/>
        <w:tab w:val="left" w:pos="2450"/>
        <w:tab w:val="left" w:pos="5502"/>
      </w:tabs>
    </w:pPr>
    <w:r w:rsidRPr="00355120">
      <w:rPr>
        <w:rFonts w:eastAsiaTheme="minorHAnsi" w:cs="Calibri"/>
        <w:sz w:val="16"/>
        <w:szCs w:val="16"/>
      </w:rPr>
      <w:t>00-184 Warszawa</w:t>
    </w:r>
    <w:r w:rsidRPr="00355120">
      <w:rPr>
        <w:rFonts w:eastAsiaTheme="minorHAnsi" w:cs="Calibri"/>
        <w:sz w:val="16"/>
        <w:szCs w:val="16"/>
      </w:rPr>
      <w:tab/>
    </w:r>
    <w:r w:rsidRPr="00355120">
      <w:rPr>
        <w:rFonts w:eastAsiaTheme="minorHAnsi" w:cs="Calibri"/>
        <w:sz w:val="16"/>
        <w:szCs w:val="16"/>
        <w:u w:val="single"/>
      </w:rPr>
      <w:t>biuro@cez.gov.pl</w:t>
    </w:r>
    <w:r w:rsidRPr="00355120">
      <w:rPr>
        <w:rFonts w:eastAsiaTheme="minorHAnsi" w:cs="Calibri"/>
        <w:sz w:val="16"/>
        <w:szCs w:val="16"/>
      </w:rPr>
      <w:t xml:space="preserve"> | </w:t>
    </w:r>
    <w:r w:rsidRPr="00355120">
      <w:rPr>
        <w:rFonts w:eastAsiaTheme="minorHAnsi" w:cs="Calibri"/>
        <w:sz w:val="16"/>
        <w:szCs w:val="16"/>
        <w:u w:val="single"/>
      </w:rPr>
      <w:t>www.cez.gov.pl</w:t>
    </w:r>
    <w:r w:rsidRPr="00355120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E0EC" w14:textId="77777777" w:rsidR="006E0204" w:rsidRPr="00355120" w:rsidRDefault="006E0204">
      <w:pPr>
        <w:spacing w:after="0"/>
      </w:pPr>
      <w:r w:rsidRPr="00355120">
        <w:separator/>
      </w:r>
    </w:p>
  </w:footnote>
  <w:footnote w:type="continuationSeparator" w:id="0">
    <w:p w14:paraId="13A1CE12" w14:textId="77777777" w:rsidR="006E0204" w:rsidRPr="00355120" w:rsidRDefault="006E0204">
      <w:pPr>
        <w:spacing w:after="0"/>
      </w:pPr>
      <w:r w:rsidRPr="0035512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553"/>
    <w:multiLevelType w:val="hybridMultilevel"/>
    <w:tmpl w:val="7C4E1848"/>
    <w:lvl w:ilvl="0" w:tplc="71F08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C5D35"/>
    <w:multiLevelType w:val="hybridMultilevel"/>
    <w:tmpl w:val="F684BAB2"/>
    <w:lvl w:ilvl="0" w:tplc="4714164C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14D"/>
    <w:multiLevelType w:val="hybridMultilevel"/>
    <w:tmpl w:val="F398CBD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54767CB"/>
    <w:multiLevelType w:val="multilevel"/>
    <w:tmpl w:val="37B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A7DF3"/>
    <w:multiLevelType w:val="hybridMultilevel"/>
    <w:tmpl w:val="CFEC0AA4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1FB806A6"/>
    <w:multiLevelType w:val="hybridMultilevel"/>
    <w:tmpl w:val="08A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112B"/>
    <w:multiLevelType w:val="hybridMultilevel"/>
    <w:tmpl w:val="F69A0CE6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27C911F6"/>
    <w:multiLevelType w:val="hybridMultilevel"/>
    <w:tmpl w:val="529C96AC"/>
    <w:lvl w:ilvl="0" w:tplc="4714164C">
      <w:start w:val="1"/>
      <w:numFmt w:val="decimal"/>
      <w:lvlText w:val="%1."/>
      <w:lvlJc w:val="left"/>
      <w:pPr>
        <w:ind w:left="72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07F33D8"/>
    <w:multiLevelType w:val="hybridMultilevel"/>
    <w:tmpl w:val="AB26791A"/>
    <w:lvl w:ilvl="0" w:tplc="B82C0E0A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30D63359"/>
    <w:multiLevelType w:val="hybridMultilevel"/>
    <w:tmpl w:val="4B2EB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A8F"/>
    <w:multiLevelType w:val="hybridMultilevel"/>
    <w:tmpl w:val="A0BA6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C0126C"/>
    <w:multiLevelType w:val="multilevel"/>
    <w:tmpl w:val="D8C8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41E13"/>
    <w:multiLevelType w:val="hybridMultilevel"/>
    <w:tmpl w:val="F58246A6"/>
    <w:lvl w:ilvl="0" w:tplc="0415000F">
      <w:start w:val="1"/>
      <w:numFmt w:val="decimal"/>
      <w:lvlText w:val="%1.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9B351FC"/>
    <w:multiLevelType w:val="hybridMultilevel"/>
    <w:tmpl w:val="BB7AD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4E22C14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1290619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6D25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C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49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2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B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2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E7405"/>
    <w:multiLevelType w:val="multilevel"/>
    <w:tmpl w:val="859A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1D16E1"/>
    <w:multiLevelType w:val="hybridMultilevel"/>
    <w:tmpl w:val="F7C4BD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3CB7301"/>
    <w:multiLevelType w:val="hybridMultilevel"/>
    <w:tmpl w:val="2AE4D73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49AA3598"/>
    <w:multiLevelType w:val="hybridMultilevel"/>
    <w:tmpl w:val="D2FEDCF2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514921FC"/>
    <w:multiLevelType w:val="hybridMultilevel"/>
    <w:tmpl w:val="FADEA0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4260997"/>
    <w:multiLevelType w:val="hybridMultilevel"/>
    <w:tmpl w:val="05561298"/>
    <w:lvl w:ilvl="0" w:tplc="0C96392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C7ACBE7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D520CB02" w:tentative="1">
      <w:start w:val="1"/>
      <w:numFmt w:val="lowerRoman"/>
      <w:lvlText w:val="%3."/>
      <w:lvlJc w:val="right"/>
      <w:pPr>
        <w:ind w:left="2160" w:hanging="180"/>
      </w:pPr>
    </w:lvl>
    <w:lvl w:ilvl="3" w:tplc="C9FA3574" w:tentative="1">
      <w:start w:val="1"/>
      <w:numFmt w:val="decimal"/>
      <w:lvlText w:val="%4."/>
      <w:lvlJc w:val="left"/>
      <w:pPr>
        <w:ind w:left="2880" w:hanging="360"/>
      </w:pPr>
    </w:lvl>
    <w:lvl w:ilvl="4" w:tplc="2E4A1D42" w:tentative="1">
      <w:start w:val="1"/>
      <w:numFmt w:val="lowerLetter"/>
      <w:lvlText w:val="%5."/>
      <w:lvlJc w:val="left"/>
      <w:pPr>
        <w:ind w:left="3600" w:hanging="360"/>
      </w:pPr>
    </w:lvl>
    <w:lvl w:ilvl="5" w:tplc="ECDA1E40" w:tentative="1">
      <w:start w:val="1"/>
      <w:numFmt w:val="lowerRoman"/>
      <w:lvlText w:val="%6."/>
      <w:lvlJc w:val="right"/>
      <w:pPr>
        <w:ind w:left="4320" w:hanging="180"/>
      </w:pPr>
    </w:lvl>
    <w:lvl w:ilvl="6" w:tplc="0114BF50" w:tentative="1">
      <w:start w:val="1"/>
      <w:numFmt w:val="decimal"/>
      <w:lvlText w:val="%7."/>
      <w:lvlJc w:val="left"/>
      <w:pPr>
        <w:ind w:left="5040" w:hanging="360"/>
      </w:pPr>
    </w:lvl>
    <w:lvl w:ilvl="7" w:tplc="F0404EB0" w:tentative="1">
      <w:start w:val="1"/>
      <w:numFmt w:val="lowerLetter"/>
      <w:lvlText w:val="%8."/>
      <w:lvlJc w:val="left"/>
      <w:pPr>
        <w:ind w:left="5760" w:hanging="360"/>
      </w:pPr>
    </w:lvl>
    <w:lvl w:ilvl="8" w:tplc="1C0E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10F70"/>
    <w:multiLevelType w:val="multilevel"/>
    <w:tmpl w:val="D12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F64EC6"/>
    <w:multiLevelType w:val="hybridMultilevel"/>
    <w:tmpl w:val="6A444134"/>
    <w:lvl w:ilvl="0" w:tplc="B82C0E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A41088"/>
    <w:multiLevelType w:val="multilevel"/>
    <w:tmpl w:val="E642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F3FB1"/>
    <w:multiLevelType w:val="hybridMultilevel"/>
    <w:tmpl w:val="623C236C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5" w15:restartNumberingAfterBreak="0">
    <w:nsid w:val="63A44F7B"/>
    <w:multiLevelType w:val="hybridMultilevel"/>
    <w:tmpl w:val="A89AC57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6" w15:restartNumberingAfterBreak="0">
    <w:nsid w:val="65117DF2"/>
    <w:multiLevelType w:val="hybridMultilevel"/>
    <w:tmpl w:val="E604A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F83490"/>
    <w:multiLevelType w:val="hybridMultilevel"/>
    <w:tmpl w:val="9A2C39DE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551AF6"/>
    <w:multiLevelType w:val="hybridMultilevel"/>
    <w:tmpl w:val="09DA4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A65D7"/>
    <w:multiLevelType w:val="hybridMultilevel"/>
    <w:tmpl w:val="D34C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06235">
    <w:abstractNumId w:val="14"/>
  </w:num>
  <w:num w:numId="2" w16cid:durableId="1690332501">
    <w:abstractNumId w:val="20"/>
  </w:num>
  <w:num w:numId="3" w16cid:durableId="739449291">
    <w:abstractNumId w:val="0"/>
  </w:num>
  <w:num w:numId="4" w16cid:durableId="995886549">
    <w:abstractNumId w:val="28"/>
  </w:num>
  <w:num w:numId="5" w16cid:durableId="924798097">
    <w:abstractNumId w:val="27"/>
  </w:num>
  <w:num w:numId="6" w16cid:durableId="600839794">
    <w:abstractNumId w:val="16"/>
  </w:num>
  <w:num w:numId="7" w16cid:durableId="878905625">
    <w:abstractNumId w:val="12"/>
  </w:num>
  <w:num w:numId="8" w16cid:durableId="46033310">
    <w:abstractNumId w:val="9"/>
  </w:num>
  <w:num w:numId="9" w16cid:durableId="1949386243">
    <w:abstractNumId w:val="7"/>
  </w:num>
  <w:num w:numId="10" w16cid:durableId="881865443">
    <w:abstractNumId w:val="14"/>
  </w:num>
  <w:num w:numId="11" w16cid:durableId="348263682">
    <w:abstractNumId w:val="7"/>
  </w:num>
  <w:num w:numId="12" w16cid:durableId="1053774369">
    <w:abstractNumId w:val="21"/>
  </w:num>
  <w:num w:numId="13" w16cid:durableId="1584487942">
    <w:abstractNumId w:val="3"/>
  </w:num>
  <w:num w:numId="14" w16cid:durableId="1027291023">
    <w:abstractNumId w:val="23"/>
  </w:num>
  <w:num w:numId="15" w16cid:durableId="1751149056">
    <w:abstractNumId w:val="11"/>
  </w:num>
  <w:num w:numId="16" w16cid:durableId="1309475221">
    <w:abstractNumId w:val="15"/>
  </w:num>
  <w:num w:numId="17" w16cid:durableId="695933636">
    <w:abstractNumId w:val="1"/>
  </w:num>
  <w:num w:numId="18" w16cid:durableId="1132409782">
    <w:abstractNumId w:val="4"/>
  </w:num>
  <w:num w:numId="19" w16cid:durableId="2113628608">
    <w:abstractNumId w:val="6"/>
  </w:num>
  <w:num w:numId="20" w16cid:durableId="313991472">
    <w:abstractNumId w:val="22"/>
  </w:num>
  <w:num w:numId="21" w16cid:durableId="1033581585">
    <w:abstractNumId w:val="8"/>
  </w:num>
  <w:num w:numId="22" w16cid:durableId="791824593">
    <w:abstractNumId w:val="13"/>
  </w:num>
  <w:num w:numId="23" w16cid:durableId="1133215276">
    <w:abstractNumId w:val="10"/>
  </w:num>
  <w:num w:numId="24" w16cid:durableId="863905369">
    <w:abstractNumId w:val="24"/>
  </w:num>
  <w:num w:numId="25" w16cid:durableId="2065638044">
    <w:abstractNumId w:val="25"/>
  </w:num>
  <w:num w:numId="26" w16cid:durableId="256715637">
    <w:abstractNumId w:val="26"/>
  </w:num>
  <w:num w:numId="27" w16cid:durableId="1623337716">
    <w:abstractNumId w:val="2"/>
  </w:num>
  <w:num w:numId="28" w16cid:durableId="1720781617">
    <w:abstractNumId w:val="29"/>
  </w:num>
  <w:num w:numId="29" w16cid:durableId="456721472">
    <w:abstractNumId w:val="18"/>
  </w:num>
  <w:num w:numId="30" w16cid:durableId="919021071">
    <w:abstractNumId w:val="17"/>
  </w:num>
  <w:num w:numId="31" w16cid:durableId="850992825">
    <w:abstractNumId w:val="19"/>
  </w:num>
  <w:num w:numId="32" w16cid:durableId="6530219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4E"/>
    <w:rsid w:val="0000329B"/>
    <w:rsid w:val="00006D75"/>
    <w:rsid w:val="00010D37"/>
    <w:rsid w:val="00021D6B"/>
    <w:rsid w:val="00024956"/>
    <w:rsid w:val="000300EC"/>
    <w:rsid w:val="000312B0"/>
    <w:rsid w:val="00035C87"/>
    <w:rsid w:val="00041CB1"/>
    <w:rsid w:val="00042DD1"/>
    <w:rsid w:val="00043CFD"/>
    <w:rsid w:val="00067B68"/>
    <w:rsid w:val="00072886"/>
    <w:rsid w:val="00080A92"/>
    <w:rsid w:val="00095A38"/>
    <w:rsid w:val="000A3591"/>
    <w:rsid w:val="000A4F87"/>
    <w:rsid w:val="000C1617"/>
    <w:rsid w:val="000C4398"/>
    <w:rsid w:val="000C604E"/>
    <w:rsid w:val="000D3D4D"/>
    <w:rsid w:val="000D57C6"/>
    <w:rsid w:val="000D5811"/>
    <w:rsid w:val="000F1CA5"/>
    <w:rsid w:val="000F5A0F"/>
    <w:rsid w:val="000F7D87"/>
    <w:rsid w:val="00110F1A"/>
    <w:rsid w:val="00123486"/>
    <w:rsid w:val="00126348"/>
    <w:rsid w:val="00127B3C"/>
    <w:rsid w:val="00140022"/>
    <w:rsid w:val="001411E3"/>
    <w:rsid w:val="00143C6F"/>
    <w:rsid w:val="00155ACC"/>
    <w:rsid w:val="00160BA9"/>
    <w:rsid w:val="0018160D"/>
    <w:rsid w:val="00192E16"/>
    <w:rsid w:val="00193DC8"/>
    <w:rsid w:val="00194B5F"/>
    <w:rsid w:val="001A3D85"/>
    <w:rsid w:val="001B051C"/>
    <w:rsid w:val="001C6BFC"/>
    <w:rsid w:val="001C6C7B"/>
    <w:rsid w:val="001E4123"/>
    <w:rsid w:val="001F7056"/>
    <w:rsid w:val="001F7BA1"/>
    <w:rsid w:val="00220036"/>
    <w:rsid w:val="002201AF"/>
    <w:rsid w:val="00220F05"/>
    <w:rsid w:val="00226AAB"/>
    <w:rsid w:val="00240036"/>
    <w:rsid w:val="00241AE8"/>
    <w:rsid w:val="002441F1"/>
    <w:rsid w:val="00245512"/>
    <w:rsid w:val="00245E93"/>
    <w:rsid w:val="002467A3"/>
    <w:rsid w:val="002511E7"/>
    <w:rsid w:val="002620FF"/>
    <w:rsid w:val="00265D0A"/>
    <w:rsid w:val="00267969"/>
    <w:rsid w:val="0027138D"/>
    <w:rsid w:val="002752C7"/>
    <w:rsid w:val="00276CC7"/>
    <w:rsid w:val="0028092D"/>
    <w:rsid w:val="00281683"/>
    <w:rsid w:val="002832F5"/>
    <w:rsid w:val="00293C13"/>
    <w:rsid w:val="002946CF"/>
    <w:rsid w:val="002A1AEA"/>
    <w:rsid w:val="002A56F4"/>
    <w:rsid w:val="002D5EE9"/>
    <w:rsid w:val="002F01DC"/>
    <w:rsid w:val="002F6191"/>
    <w:rsid w:val="003074C8"/>
    <w:rsid w:val="00307F6C"/>
    <w:rsid w:val="003109BE"/>
    <w:rsid w:val="00314689"/>
    <w:rsid w:val="0033322D"/>
    <w:rsid w:val="003350DE"/>
    <w:rsid w:val="00337107"/>
    <w:rsid w:val="003408A4"/>
    <w:rsid w:val="003462B4"/>
    <w:rsid w:val="0034779F"/>
    <w:rsid w:val="00352709"/>
    <w:rsid w:val="00355120"/>
    <w:rsid w:val="00362A3D"/>
    <w:rsid w:val="00364636"/>
    <w:rsid w:val="00365121"/>
    <w:rsid w:val="00372461"/>
    <w:rsid w:val="003742F4"/>
    <w:rsid w:val="00383A58"/>
    <w:rsid w:val="00386407"/>
    <w:rsid w:val="00390043"/>
    <w:rsid w:val="003911E4"/>
    <w:rsid w:val="0039167F"/>
    <w:rsid w:val="003A2F24"/>
    <w:rsid w:val="003A7CC9"/>
    <w:rsid w:val="003B484B"/>
    <w:rsid w:val="003C092C"/>
    <w:rsid w:val="003C4F71"/>
    <w:rsid w:val="003D54CD"/>
    <w:rsid w:val="003D5A95"/>
    <w:rsid w:val="003E3572"/>
    <w:rsid w:val="003F21A1"/>
    <w:rsid w:val="003F3D8B"/>
    <w:rsid w:val="00400771"/>
    <w:rsid w:val="004178B5"/>
    <w:rsid w:val="00432CC2"/>
    <w:rsid w:val="00443BE2"/>
    <w:rsid w:val="0045086E"/>
    <w:rsid w:val="0046270A"/>
    <w:rsid w:val="0046612B"/>
    <w:rsid w:val="004725F7"/>
    <w:rsid w:val="004732E0"/>
    <w:rsid w:val="00486A19"/>
    <w:rsid w:val="00487F48"/>
    <w:rsid w:val="00494B02"/>
    <w:rsid w:val="004A658F"/>
    <w:rsid w:val="004B1F93"/>
    <w:rsid w:val="004B568E"/>
    <w:rsid w:val="004B5E05"/>
    <w:rsid w:val="004C2C2D"/>
    <w:rsid w:val="004C433E"/>
    <w:rsid w:val="004C6B98"/>
    <w:rsid w:val="004D3942"/>
    <w:rsid w:val="004D5BE3"/>
    <w:rsid w:val="004D64AB"/>
    <w:rsid w:val="004E060E"/>
    <w:rsid w:val="004E280D"/>
    <w:rsid w:val="004F6446"/>
    <w:rsid w:val="004F6D3B"/>
    <w:rsid w:val="004F7F92"/>
    <w:rsid w:val="0050279C"/>
    <w:rsid w:val="00506F0D"/>
    <w:rsid w:val="0051024F"/>
    <w:rsid w:val="00511BFA"/>
    <w:rsid w:val="00516031"/>
    <w:rsid w:val="00546D63"/>
    <w:rsid w:val="00552418"/>
    <w:rsid w:val="00561584"/>
    <w:rsid w:val="0057694B"/>
    <w:rsid w:val="00584B00"/>
    <w:rsid w:val="00585340"/>
    <w:rsid w:val="005B27CD"/>
    <w:rsid w:val="005C30B7"/>
    <w:rsid w:val="005D197F"/>
    <w:rsid w:val="005D2580"/>
    <w:rsid w:val="005D5DD5"/>
    <w:rsid w:val="005E32FB"/>
    <w:rsid w:val="005E7CBD"/>
    <w:rsid w:val="00606155"/>
    <w:rsid w:val="00610A67"/>
    <w:rsid w:val="0061314C"/>
    <w:rsid w:val="006213B6"/>
    <w:rsid w:val="006423BD"/>
    <w:rsid w:val="00642E14"/>
    <w:rsid w:val="00643E86"/>
    <w:rsid w:val="00644E03"/>
    <w:rsid w:val="0065291C"/>
    <w:rsid w:val="0067138C"/>
    <w:rsid w:val="0067443A"/>
    <w:rsid w:val="00676371"/>
    <w:rsid w:val="0068144E"/>
    <w:rsid w:val="006965D4"/>
    <w:rsid w:val="006A02B1"/>
    <w:rsid w:val="006A2B94"/>
    <w:rsid w:val="006B2C1F"/>
    <w:rsid w:val="006C57D7"/>
    <w:rsid w:val="006D22BE"/>
    <w:rsid w:val="006D363F"/>
    <w:rsid w:val="006D71DE"/>
    <w:rsid w:val="006D7BB3"/>
    <w:rsid w:val="006E0204"/>
    <w:rsid w:val="006F014E"/>
    <w:rsid w:val="006F0983"/>
    <w:rsid w:val="006F1DDA"/>
    <w:rsid w:val="006F280F"/>
    <w:rsid w:val="00700B0E"/>
    <w:rsid w:val="007020E4"/>
    <w:rsid w:val="0071297B"/>
    <w:rsid w:val="007247EB"/>
    <w:rsid w:val="00724E59"/>
    <w:rsid w:val="007267D0"/>
    <w:rsid w:val="00731030"/>
    <w:rsid w:val="007403F7"/>
    <w:rsid w:val="00740AEA"/>
    <w:rsid w:val="00752B04"/>
    <w:rsid w:val="00762E97"/>
    <w:rsid w:val="00764910"/>
    <w:rsid w:val="00775AEA"/>
    <w:rsid w:val="00796A75"/>
    <w:rsid w:val="00797F10"/>
    <w:rsid w:val="007A121A"/>
    <w:rsid w:val="007B1957"/>
    <w:rsid w:val="007B1CD4"/>
    <w:rsid w:val="007B3099"/>
    <w:rsid w:val="007B71C6"/>
    <w:rsid w:val="007C078F"/>
    <w:rsid w:val="007D69BA"/>
    <w:rsid w:val="007E65E2"/>
    <w:rsid w:val="007F2BE6"/>
    <w:rsid w:val="007F775A"/>
    <w:rsid w:val="00800106"/>
    <w:rsid w:val="00806324"/>
    <w:rsid w:val="00832B9C"/>
    <w:rsid w:val="00835A34"/>
    <w:rsid w:val="008430CA"/>
    <w:rsid w:val="00844B0C"/>
    <w:rsid w:val="00847EB8"/>
    <w:rsid w:val="00850005"/>
    <w:rsid w:val="00854720"/>
    <w:rsid w:val="00861AD6"/>
    <w:rsid w:val="00874485"/>
    <w:rsid w:val="008773F0"/>
    <w:rsid w:val="00884833"/>
    <w:rsid w:val="00884ECF"/>
    <w:rsid w:val="008A1D32"/>
    <w:rsid w:val="008A786D"/>
    <w:rsid w:val="008C5BE4"/>
    <w:rsid w:val="008C71A7"/>
    <w:rsid w:val="008D1B2C"/>
    <w:rsid w:val="008D4ADF"/>
    <w:rsid w:val="008D5D40"/>
    <w:rsid w:val="008E0864"/>
    <w:rsid w:val="008E434E"/>
    <w:rsid w:val="008F735C"/>
    <w:rsid w:val="00900F7B"/>
    <w:rsid w:val="00902FAB"/>
    <w:rsid w:val="00910BAC"/>
    <w:rsid w:val="009270C5"/>
    <w:rsid w:val="00927CCC"/>
    <w:rsid w:val="009379C0"/>
    <w:rsid w:val="009462ED"/>
    <w:rsid w:val="009560CA"/>
    <w:rsid w:val="00957333"/>
    <w:rsid w:val="0096216A"/>
    <w:rsid w:val="00966AA7"/>
    <w:rsid w:val="00981E29"/>
    <w:rsid w:val="00982F11"/>
    <w:rsid w:val="00985F62"/>
    <w:rsid w:val="009939BC"/>
    <w:rsid w:val="00995752"/>
    <w:rsid w:val="009A1B62"/>
    <w:rsid w:val="009B2D87"/>
    <w:rsid w:val="009B5583"/>
    <w:rsid w:val="009C3A56"/>
    <w:rsid w:val="009C53F0"/>
    <w:rsid w:val="009C6771"/>
    <w:rsid w:val="009E02C1"/>
    <w:rsid w:val="009E734A"/>
    <w:rsid w:val="009E7CAE"/>
    <w:rsid w:val="009F329A"/>
    <w:rsid w:val="009F6D7F"/>
    <w:rsid w:val="00A01693"/>
    <w:rsid w:val="00A0179E"/>
    <w:rsid w:val="00A1289A"/>
    <w:rsid w:val="00A1475E"/>
    <w:rsid w:val="00A15AFB"/>
    <w:rsid w:val="00A17F46"/>
    <w:rsid w:val="00A2370C"/>
    <w:rsid w:val="00A342A3"/>
    <w:rsid w:val="00A4622A"/>
    <w:rsid w:val="00A50412"/>
    <w:rsid w:val="00A53005"/>
    <w:rsid w:val="00A77F78"/>
    <w:rsid w:val="00A9491B"/>
    <w:rsid w:val="00A973B5"/>
    <w:rsid w:val="00AA0265"/>
    <w:rsid w:val="00AA5346"/>
    <w:rsid w:val="00AA667E"/>
    <w:rsid w:val="00AA6835"/>
    <w:rsid w:val="00AC59E5"/>
    <w:rsid w:val="00AD2FC2"/>
    <w:rsid w:val="00AD584B"/>
    <w:rsid w:val="00AE79FD"/>
    <w:rsid w:val="00AF3306"/>
    <w:rsid w:val="00AF349D"/>
    <w:rsid w:val="00AF7CD1"/>
    <w:rsid w:val="00AF7F84"/>
    <w:rsid w:val="00B0125A"/>
    <w:rsid w:val="00B14B6F"/>
    <w:rsid w:val="00B15724"/>
    <w:rsid w:val="00B2521F"/>
    <w:rsid w:val="00B35F24"/>
    <w:rsid w:val="00B36C9E"/>
    <w:rsid w:val="00B44E2B"/>
    <w:rsid w:val="00B468B2"/>
    <w:rsid w:val="00B644CE"/>
    <w:rsid w:val="00B67E50"/>
    <w:rsid w:val="00B7418F"/>
    <w:rsid w:val="00B85FCC"/>
    <w:rsid w:val="00B9184B"/>
    <w:rsid w:val="00B92F4B"/>
    <w:rsid w:val="00BD11CD"/>
    <w:rsid w:val="00BD2A73"/>
    <w:rsid w:val="00BD4D4E"/>
    <w:rsid w:val="00BE1C7D"/>
    <w:rsid w:val="00BE4807"/>
    <w:rsid w:val="00C0578D"/>
    <w:rsid w:val="00C067CE"/>
    <w:rsid w:val="00C07A4A"/>
    <w:rsid w:val="00C113E2"/>
    <w:rsid w:val="00C12790"/>
    <w:rsid w:val="00C171C0"/>
    <w:rsid w:val="00C250E8"/>
    <w:rsid w:val="00C32471"/>
    <w:rsid w:val="00C34219"/>
    <w:rsid w:val="00C37AFC"/>
    <w:rsid w:val="00C42A64"/>
    <w:rsid w:val="00C467E7"/>
    <w:rsid w:val="00C47971"/>
    <w:rsid w:val="00C54F24"/>
    <w:rsid w:val="00C6042B"/>
    <w:rsid w:val="00C63D66"/>
    <w:rsid w:val="00C63FCF"/>
    <w:rsid w:val="00C64156"/>
    <w:rsid w:val="00C6417F"/>
    <w:rsid w:val="00C81516"/>
    <w:rsid w:val="00C81B31"/>
    <w:rsid w:val="00C9104D"/>
    <w:rsid w:val="00C97405"/>
    <w:rsid w:val="00CB39F6"/>
    <w:rsid w:val="00CB779B"/>
    <w:rsid w:val="00CC5245"/>
    <w:rsid w:val="00CD150B"/>
    <w:rsid w:val="00CD62AC"/>
    <w:rsid w:val="00CE14D7"/>
    <w:rsid w:val="00D071EA"/>
    <w:rsid w:val="00D11D7B"/>
    <w:rsid w:val="00D1366B"/>
    <w:rsid w:val="00D14D7A"/>
    <w:rsid w:val="00D238B2"/>
    <w:rsid w:val="00D31C32"/>
    <w:rsid w:val="00D6403F"/>
    <w:rsid w:val="00D678EC"/>
    <w:rsid w:val="00D76B5D"/>
    <w:rsid w:val="00D87F3C"/>
    <w:rsid w:val="00D9264F"/>
    <w:rsid w:val="00DA0408"/>
    <w:rsid w:val="00DA3E63"/>
    <w:rsid w:val="00DA57D6"/>
    <w:rsid w:val="00DA715A"/>
    <w:rsid w:val="00DA7344"/>
    <w:rsid w:val="00DB1037"/>
    <w:rsid w:val="00DB1588"/>
    <w:rsid w:val="00DB2ADD"/>
    <w:rsid w:val="00DB6298"/>
    <w:rsid w:val="00DB749C"/>
    <w:rsid w:val="00DC2FA2"/>
    <w:rsid w:val="00DD396D"/>
    <w:rsid w:val="00DD418C"/>
    <w:rsid w:val="00DD56A9"/>
    <w:rsid w:val="00DE1A0A"/>
    <w:rsid w:val="00DE3705"/>
    <w:rsid w:val="00DE5FB4"/>
    <w:rsid w:val="00DE6CEA"/>
    <w:rsid w:val="00DF63C5"/>
    <w:rsid w:val="00E03370"/>
    <w:rsid w:val="00E24715"/>
    <w:rsid w:val="00E31AC3"/>
    <w:rsid w:val="00E33549"/>
    <w:rsid w:val="00E34320"/>
    <w:rsid w:val="00E46CD2"/>
    <w:rsid w:val="00E706A3"/>
    <w:rsid w:val="00E75DCF"/>
    <w:rsid w:val="00E801A7"/>
    <w:rsid w:val="00E80422"/>
    <w:rsid w:val="00E82320"/>
    <w:rsid w:val="00E97B5E"/>
    <w:rsid w:val="00EA2846"/>
    <w:rsid w:val="00EA774D"/>
    <w:rsid w:val="00EB0053"/>
    <w:rsid w:val="00EB13E0"/>
    <w:rsid w:val="00EB4ECF"/>
    <w:rsid w:val="00EC289F"/>
    <w:rsid w:val="00EE499B"/>
    <w:rsid w:val="00EE6245"/>
    <w:rsid w:val="00F04AB8"/>
    <w:rsid w:val="00F171FB"/>
    <w:rsid w:val="00F2288D"/>
    <w:rsid w:val="00F30D76"/>
    <w:rsid w:val="00F34B68"/>
    <w:rsid w:val="00F34EE3"/>
    <w:rsid w:val="00F366DA"/>
    <w:rsid w:val="00F43255"/>
    <w:rsid w:val="00F45AA9"/>
    <w:rsid w:val="00F54CA3"/>
    <w:rsid w:val="00F76AF6"/>
    <w:rsid w:val="00F84F65"/>
    <w:rsid w:val="00F92BC9"/>
    <w:rsid w:val="00FA44F5"/>
    <w:rsid w:val="00FB71C1"/>
    <w:rsid w:val="00FC3CFF"/>
    <w:rsid w:val="00FC74EC"/>
    <w:rsid w:val="00FD1E20"/>
    <w:rsid w:val="00FD289C"/>
    <w:rsid w:val="00FD756A"/>
    <w:rsid w:val="00FE6514"/>
    <w:rsid w:val="00FF2259"/>
    <w:rsid w:val="00FF29CD"/>
    <w:rsid w:val="01F8DF64"/>
    <w:rsid w:val="13C35025"/>
    <w:rsid w:val="24891A7F"/>
    <w:rsid w:val="250E97DF"/>
    <w:rsid w:val="25A09C34"/>
    <w:rsid w:val="2820F037"/>
    <w:rsid w:val="2B2C857F"/>
    <w:rsid w:val="33A2291A"/>
    <w:rsid w:val="382945DC"/>
    <w:rsid w:val="3F59A7FD"/>
    <w:rsid w:val="4C6EF487"/>
    <w:rsid w:val="51F6EBD9"/>
    <w:rsid w:val="572938B3"/>
    <w:rsid w:val="596E6BB1"/>
    <w:rsid w:val="5FFF845E"/>
    <w:rsid w:val="6481AEE1"/>
    <w:rsid w:val="75E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34BE"/>
  <w15:docId w15:val="{2D1C260C-DB1A-4EE6-B1A6-997C8399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,List Paragra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297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D4ADF"/>
    <w:pPr>
      <w:spacing w:after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4ADF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8D4ADF"/>
    <w:rPr>
      <w:vertAlign w:val="superscript"/>
    </w:rPr>
  </w:style>
  <w:style w:type="table" w:customStyle="1" w:styleId="ralph">
    <w:name w:val="ralph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ralph1">
    <w:name w:val="ralph1"/>
    <w:basedOn w:val="Standardowy"/>
    <w:uiPriority w:val="99"/>
    <w:qFormat/>
    <w:rsid w:val="007A121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block">
    <w:name w:val="block"/>
    <w:basedOn w:val="Domylnaczcionkaakapitu"/>
    <w:rsid w:val="00850005"/>
  </w:style>
  <w:style w:type="paragraph" w:styleId="Poprawka">
    <w:name w:val="Revision"/>
    <w:hidden/>
    <w:uiPriority w:val="99"/>
    <w:semiHidden/>
    <w:rsid w:val="00220F05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9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49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49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9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91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531002F766F4598D2BCEF526A939B" ma:contentTypeVersion="3" ma:contentTypeDescription="Utwórz nowy dokument." ma:contentTypeScope="" ma:versionID="45bced91d5edd1631eaab3055250df99">
  <xsd:schema xmlns:xsd="http://www.w3.org/2001/XMLSchema" xmlns:xs="http://www.w3.org/2001/XMLSchema" xmlns:p="http://schemas.microsoft.com/office/2006/metadata/properties" xmlns:ns2="4bfe818a-16eb-475d-ba93-d18100c8453b" targetNamespace="http://schemas.microsoft.com/office/2006/metadata/properties" ma:root="true" ma:fieldsID="6b100e202316a634c47cf02168e74efb" ns2:_="">
    <xsd:import namespace="4bfe818a-16eb-475d-ba93-d18100c84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e818a-16eb-475d-ba93-d18100c84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64B452-A934-4AD0-85CA-19A86270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e818a-16eb-475d-ba93-d18100c84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1225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Lerska-Linkiewicz Anna</cp:lastModifiedBy>
  <cp:revision>4</cp:revision>
  <cp:lastPrinted>2023-09-21T08:55:00Z</cp:lastPrinted>
  <dcterms:created xsi:type="dcterms:W3CDTF">2026-04-24T08:03:00Z</dcterms:created>
  <dcterms:modified xsi:type="dcterms:W3CDTF">2026-04-27T08:39:00Z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0x0101008D9531002F766F4598D2BCEF526A939B</vt:lpwstr>
  </property>
</Properties>
</file>